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E6F" w:rsidRDefault="00BA2E6F" w:rsidP="00BA2E6F">
      <w:pPr>
        <w:ind w:firstLine="555"/>
        <w:jc w:val="center"/>
        <w:rPr>
          <w:b/>
          <w:sz w:val="28"/>
          <w:szCs w:val="28"/>
        </w:rPr>
      </w:pPr>
    </w:p>
    <w:p w:rsidR="00BA2E6F" w:rsidRPr="00BA2E6F" w:rsidRDefault="00BA2E6F" w:rsidP="00BA2E6F">
      <w:pPr>
        <w:jc w:val="center"/>
        <w:rPr>
          <w:rFonts w:ascii="Times New Roman" w:hAnsi="Times New Roman" w:cs="Times New Roman"/>
          <w:caps/>
          <w:sz w:val="28"/>
          <w:szCs w:val="28"/>
        </w:rPr>
      </w:pPr>
      <w:r w:rsidRPr="00BA2E6F">
        <w:rPr>
          <w:rFonts w:ascii="Times New Roman" w:hAnsi="Times New Roman" w:cs="Times New Roman"/>
          <w:noProof/>
          <w:lang w:eastAsia="ru-RU"/>
        </w:rPr>
        <w:drawing>
          <wp:anchor distT="0" distB="0" distL="114935" distR="114935" simplePos="0" relativeHeight="251659264" behindDoc="1" locked="0" layoutInCell="1" allowOverlap="1" wp14:anchorId="29A5AACB" wp14:editId="5395F06E">
            <wp:simplePos x="0" y="0"/>
            <wp:positionH relativeFrom="column">
              <wp:posOffset>2514600</wp:posOffset>
            </wp:positionH>
            <wp:positionV relativeFrom="paragraph">
              <wp:posOffset>-571500</wp:posOffset>
            </wp:positionV>
            <wp:extent cx="692785" cy="62103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692785" cy="621030"/>
                    </a:xfrm>
                    <a:prstGeom prst="rect">
                      <a:avLst/>
                    </a:prstGeom>
                    <a:solidFill>
                      <a:srgbClr val="FFFFFF"/>
                    </a:solidFill>
                  </pic:spPr>
                </pic:pic>
              </a:graphicData>
            </a:graphic>
          </wp:anchor>
        </w:drawing>
      </w:r>
      <w:r w:rsidRPr="00BA2E6F">
        <w:rPr>
          <w:rFonts w:ascii="Times New Roman" w:hAnsi="Times New Roman" w:cs="Times New Roman"/>
          <w:b/>
          <w:caps/>
          <w:sz w:val="34"/>
          <w:szCs w:val="34"/>
        </w:rPr>
        <w:t>Ф</w:t>
      </w:r>
      <w:r w:rsidRPr="00BA2E6F">
        <w:rPr>
          <w:rFonts w:ascii="Times New Roman" w:hAnsi="Times New Roman" w:cs="Times New Roman"/>
          <w:caps/>
          <w:sz w:val="28"/>
          <w:szCs w:val="28"/>
        </w:rPr>
        <w:t>едеральная</w:t>
      </w:r>
      <w:r w:rsidRPr="00BA2E6F">
        <w:rPr>
          <w:rFonts w:ascii="Times New Roman" w:hAnsi="Times New Roman" w:cs="Times New Roman"/>
          <w:b/>
          <w:caps/>
          <w:sz w:val="32"/>
          <w:szCs w:val="32"/>
        </w:rPr>
        <w:t xml:space="preserve"> </w:t>
      </w:r>
      <w:r w:rsidRPr="00BA2E6F">
        <w:rPr>
          <w:rFonts w:ascii="Times New Roman" w:hAnsi="Times New Roman" w:cs="Times New Roman"/>
          <w:b/>
          <w:caps/>
          <w:sz w:val="34"/>
          <w:szCs w:val="34"/>
        </w:rPr>
        <w:t>а</w:t>
      </w:r>
      <w:r w:rsidRPr="00BA2E6F">
        <w:rPr>
          <w:rFonts w:ascii="Times New Roman" w:hAnsi="Times New Roman" w:cs="Times New Roman"/>
          <w:caps/>
          <w:sz w:val="28"/>
          <w:szCs w:val="28"/>
        </w:rPr>
        <w:t>нтимонопольная</w:t>
      </w:r>
      <w:r w:rsidRPr="00BA2E6F">
        <w:rPr>
          <w:rFonts w:ascii="Times New Roman" w:hAnsi="Times New Roman" w:cs="Times New Roman"/>
          <w:b/>
          <w:caps/>
          <w:sz w:val="32"/>
          <w:szCs w:val="32"/>
        </w:rPr>
        <w:t xml:space="preserve"> </w:t>
      </w:r>
      <w:r w:rsidRPr="00BA2E6F">
        <w:rPr>
          <w:rFonts w:ascii="Times New Roman" w:hAnsi="Times New Roman" w:cs="Times New Roman"/>
          <w:b/>
          <w:caps/>
          <w:sz w:val="34"/>
          <w:szCs w:val="34"/>
        </w:rPr>
        <w:t>с</w:t>
      </w:r>
      <w:r w:rsidRPr="00BA2E6F">
        <w:rPr>
          <w:rFonts w:ascii="Times New Roman" w:hAnsi="Times New Roman" w:cs="Times New Roman"/>
          <w:caps/>
          <w:sz w:val="28"/>
          <w:szCs w:val="28"/>
        </w:rPr>
        <w:t>лужба</w:t>
      </w:r>
    </w:p>
    <w:p w:rsidR="00BA2E6F" w:rsidRPr="00BA2E6F" w:rsidRDefault="00BA2E6F" w:rsidP="00BA2E6F">
      <w:pPr>
        <w:jc w:val="center"/>
        <w:rPr>
          <w:rFonts w:ascii="Times New Roman" w:hAnsi="Times New Roman" w:cs="Times New Roman"/>
          <w:b/>
          <w:caps/>
        </w:rPr>
      </w:pPr>
      <w:r w:rsidRPr="00BA2E6F">
        <w:rPr>
          <w:rFonts w:ascii="Times New Roman" w:hAnsi="Times New Roman" w:cs="Times New Roman"/>
          <w:b/>
          <w:caps/>
        </w:rPr>
        <w:t>Управление РЕГУЛИРОВАНИЯ СВЯЗИ И ИНФОРМАЦИОННЫХ ТЕХНОЛОГИЙ</w:t>
      </w:r>
    </w:p>
    <w:p w:rsidR="00BA2E6F" w:rsidRPr="00BA2E6F" w:rsidRDefault="00BA2E6F" w:rsidP="00BA2E6F">
      <w:pPr>
        <w:spacing w:line="120" w:lineRule="auto"/>
        <w:jc w:val="center"/>
        <w:rPr>
          <w:rFonts w:ascii="Times New Roman" w:hAnsi="Times New Roman" w:cs="Times New Roman"/>
          <w:sz w:val="12"/>
          <w:szCs w:val="14"/>
        </w:rPr>
      </w:pPr>
      <w:r w:rsidRPr="00BA2E6F">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3A359F20" wp14:editId="36266F6F">
                <wp:simplePos x="0" y="0"/>
                <wp:positionH relativeFrom="column">
                  <wp:posOffset>0</wp:posOffset>
                </wp:positionH>
                <wp:positionV relativeFrom="paragraph">
                  <wp:posOffset>48260</wp:posOffset>
                </wp:positionV>
                <wp:extent cx="5939790" cy="0"/>
                <wp:effectExtent l="13335" t="13970" r="19050" b="1460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255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0DD1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7.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" strokeweight=".71mm">
                <v:stroke joinstyle="miter"/>
              </v:line>
            </w:pict>
          </mc:Fallback>
        </mc:AlternateContent>
      </w:r>
    </w:p>
    <w:p w:rsidR="00BA2E6F" w:rsidRPr="00BA2E6F" w:rsidRDefault="00BA2E6F" w:rsidP="00BA2E6F">
      <w:pPr>
        <w:ind w:firstLine="555"/>
        <w:jc w:val="center"/>
        <w:rPr>
          <w:rFonts w:ascii="Times New Roman" w:hAnsi="Times New Roman" w:cs="Times New Roman"/>
          <w:b/>
          <w:sz w:val="28"/>
          <w:szCs w:val="28"/>
        </w:rPr>
      </w:pPr>
    </w:p>
    <w:p w:rsidR="00BA2E6F" w:rsidRPr="00BA2E6F" w:rsidRDefault="00BA2E6F" w:rsidP="00BA2E6F">
      <w:pPr>
        <w:spacing w:after="0" w:line="240" w:lineRule="auto"/>
        <w:jc w:val="center"/>
        <w:rPr>
          <w:rFonts w:ascii="Times New Roman" w:hAnsi="Times New Roman" w:cs="Times New Roman"/>
          <w:b/>
          <w:sz w:val="28"/>
          <w:szCs w:val="28"/>
          <w:u w:val="single"/>
        </w:rPr>
      </w:pPr>
      <w:r>
        <w:rPr>
          <w:rFonts w:ascii="Times New Roman" w:hAnsi="Times New Roman" w:cs="Times New Roman"/>
          <w:sz w:val="28"/>
          <w:szCs w:val="28"/>
        </w:rPr>
        <w:t>«___» ____________ 2020</w:t>
      </w:r>
      <w:r w:rsidRPr="00BA2E6F">
        <w:rPr>
          <w:rFonts w:ascii="Times New Roman" w:hAnsi="Times New Roman" w:cs="Times New Roman"/>
          <w:sz w:val="28"/>
          <w:szCs w:val="28"/>
        </w:rPr>
        <w:t xml:space="preserve"> г. </w:t>
      </w:r>
      <w:r w:rsidRPr="00BA2E6F">
        <w:rPr>
          <w:rFonts w:ascii="Times New Roman" w:hAnsi="Times New Roman" w:cs="Times New Roman"/>
          <w:sz w:val="28"/>
          <w:szCs w:val="28"/>
        </w:rPr>
        <w:tab/>
      </w:r>
      <w:r w:rsidRPr="00BA2E6F">
        <w:rPr>
          <w:rFonts w:ascii="Times New Roman" w:hAnsi="Times New Roman" w:cs="Times New Roman"/>
          <w:sz w:val="28"/>
          <w:szCs w:val="28"/>
        </w:rPr>
        <w:tab/>
      </w:r>
      <w:r w:rsidRPr="00BA2E6F">
        <w:rPr>
          <w:rFonts w:ascii="Times New Roman" w:hAnsi="Times New Roman" w:cs="Times New Roman"/>
          <w:sz w:val="28"/>
          <w:szCs w:val="28"/>
        </w:rPr>
        <w:tab/>
      </w:r>
      <w:r w:rsidRPr="00BA2E6F">
        <w:rPr>
          <w:rFonts w:ascii="Times New Roman" w:hAnsi="Times New Roman" w:cs="Times New Roman"/>
          <w:sz w:val="28"/>
          <w:szCs w:val="28"/>
        </w:rPr>
        <w:tab/>
      </w:r>
      <w:r w:rsidRPr="00BA2E6F">
        <w:rPr>
          <w:rFonts w:ascii="Times New Roman" w:hAnsi="Times New Roman" w:cs="Times New Roman"/>
          <w:sz w:val="28"/>
          <w:szCs w:val="28"/>
        </w:rPr>
        <w:tab/>
      </w:r>
      <w:r w:rsidRPr="00BA2E6F">
        <w:rPr>
          <w:rFonts w:ascii="Times New Roman" w:hAnsi="Times New Roman" w:cs="Times New Roman"/>
          <w:sz w:val="28"/>
          <w:szCs w:val="28"/>
        </w:rPr>
        <w:tab/>
      </w:r>
      <w:r w:rsidRPr="00BA2E6F">
        <w:rPr>
          <w:rFonts w:ascii="Times New Roman" w:hAnsi="Times New Roman" w:cs="Times New Roman"/>
          <w:sz w:val="28"/>
          <w:szCs w:val="28"/>
        </w:rPr>
        <w:tab/>
        <w:t xml:space="preserve">     г. Москва                                                                     </w:t>
      </w:r>
    </w:p>
    <w:p w:rsidR="00BA2E6F" w:rsidRDefault="00BA2E6F" w:rsidP="00591AD3">
      <w:pPr>
        <w:spacing w:after="0" w:line="240" w:lineRule="auto"/>
        <w:jc w:val="center"/>
        <w:rPr>
          <w:rFonts w:ascii="Times New Roman" w:hAnsi="Times New Roman" w:cs="Times New Roman"/>
          <w:b/>
          <w:sz w:val="28"/>
          <w:szCs w:val="28"/>
          <w:u w:val="single"/>
        </w:rPr>
      </w:pPr>
    </w:p>
    <w:p w:rsidR="00B22EE1" w:rsidRPr="00591AD3" w:rsidRDefault="00B22EE1" w:rsidP="00591AD3">
      <w:pPr>
        <w:spacing w:after="0" w:line="240" w:lineRule="auto"/>
        <w:jc w:val="center"/>
        <w:rPr>
          <w:rFonts w:ascii="Times New Roman" w:hAnsi="Times New Roman" w:cs="Times New Roman"/>
          <w:b/>
          <w:sz w:val="28"/>
          <w:szCs w:val="28"/>
          <w:u w:val="single"/>
        </w:rPr>
      </w:pPr>
    </w:p>
    <w:p w:rsidR="00D31594" w:rsidRDefault="00D31594" w:rsidP="002C0378">
      <w:pPr>
        <w:spacing w:after="0" w:line="240" w:lineRule="auto"/>
        <w:jc w:val="center"/>
        <w:rPr>
          <w:rFonts w:ascii="Times New Roman" w:hAnsi="Times New Roman" w:cs="Times New Roman"/>
          <w:b/>
          <w:sz w:val="28"/>
          <w:szCs w:val="28"/>
        </w:rPr>
      </w:pPr>
      <w:r w:rsidRPr="004A1537">
        <w:rPr>
          <w:rFonts w:ascii="Times New Roman" w:hAnsi="Times New Roman" w:cs="Times New Roman"/>
          <w:b/>
          <w:sz w:val="28"/>
          <w:szCs w:val="28"/>
        </w:rPr>
        <w:t>Аналитический отч</w:t>
      </w:r>
      <w:r>
        <w:rPr>
          <w:rFonts w:ascii="Times New Roman" w:hAnsi="Times New Roman" w:cs="Times New Roman"/>
          <w:b/>
          <w:sz w:val="28"/>
          <w:szCs w:val="28"/>
        </w:rPr>
        <w:t xml:space="preserve">ет по результатам анализа состояния конкуренции на рынке </w:t>
      </w:r>
      <w:r w:rsidRPr="004A1537">
        <w:rPr>
          <w:rFonts w:ascii="Times New Roman" w:hAnsi="Times New Roman" w:cs="Times New Roman"/>
          <w:b/>
          <w:sz w:val="28"/>
          <w:szCs w:val="28"/>
        </w:rPr>
        <w:t xml:space="preserve">услуг подвижной радиотелефонной связи на </w:t>
      </w:r>
      <w:r w:rsidR="00530308">
        <w:rPr>
          <w:rFonts w:ascii="Times New Roman" w:hAnsi="Times New Roman" w:cs="Times New Roman"/>
          <w:b/>
          <w:sz w:val="28"/>
          <w:szCs w:val="28"/>
        </w:rPr>
        <w:t>территории Российской Федерации</w:t>
      </w:r>
    </w:p>
    <w:p w:rsidR="00D31594" w:rsidRDefault="00D31594" w:rsidP="002C0378">
      <w:pPr>
        <w:spacing w:after="0" w:line="240" w:lineRule="auto"/>
        <w:jc w:val="center"/>
        <w:rPr>
          <w:rFonts w:ascii="Times New Roman" w:hAnsi="Times New Roman" w:cs="Times New Roman"/>
          <w:b/>
          <w:sz w:val="28"/>
          <w:szCs w:val="28"/>
        </w:rPr>
      </w:pPr>
    </w:p>
    <w:p w:rsidR="00D31594" w:rsidRPr="004A1537" w:rsidRDefault="00D31594" w:rsidP="00D31594">
      <w:pPr>
        <w:spacing w:after="0" w:line="240" w:lineRule="auto"/>
        <w:ind w:firstLine="900"/>
        <w:jc w:val="both"/>
        <w:rPr>
          <w:rFonts w:ascii="Times New Roman" w:hAnsi="Times New Roman" w:cs="Times New Roman"/>
          <w:sz w:val="28"/>
          <w:szCs w:val="28"/>
        </w:rPr>
      </w:pPr>
      <w:r w:rsidRPr="004A1537">
        <w:rPr>
          <w:rFonts w:ascii="Times New Roman" w:hAnsi="Times New Roman" w:cs="Times New Roman"/>
          <w:sz w:val="28"/>
          <w:szCs w:val="28"/>
        </w:rPr>
        <w:t xml:space="preserve">Анализ и оценка состояния конкурентной среды на рынке услуг подвижной радиотелефонной связи </w:t>
      </w:r>
      <w:r>
        <w:rPr>
          <w:rFonts w:ascii="Times New Roman" w:hAnsi="Times New Roman" w:cs="Times New Roman"/>
          <w:sz w:val="28"/>
          <w:szCs w:val="28"/>
        </w:rPr>
        <w:t xml:space="preserve">на территории Российской Федерации </w:t>
      </w:r>
      <w:r w:rsidRPr="004A1537">
        <w:rPr>
          <w:rFonts w:ascii="Times New Roman" w:hAnsi="Times New Roman" w:cs="Times New Roman"/>
          <w:sz w:val="28"/>
          <w:szCs w:val="28"/>
        </w:rPr>
        <w:t xml:space="preserve">проведен </w:t>
      </w:r>
      <w:r>
        <w:rPr>
          <w:rFonts w:ascii="Times New Roman" w:hAnsi="Times New Roman" w:cs="Times New Roman"/>
          <w:sz w:val="28"/>
          <w:szCs w:val="28"/>
        </w:rPr>
        <w:t>в соответствии с пунктом 10 части 1 статьи 23 Федерального закона от 26.07.2006 № 135-ФЗ «О защите конкуренции» (далее – Закон о защите конкуренции)</w:t>
      </w:r>
      <w:r w:rsidRPr="004A1537">
        <w:rPr>
          <w:rFonts w:ascii="Times New Roman" w:hAnsi="Times New Roman" w:cs="Times New Roman"/>
          <w:sz w:val="28"/>
          <w:szCs w:val="28"/>
        </w:rPr>
        <w:t>.</w:t>
      </w:r>
    </w:p>
    <w:p w:rsidR="00D31594" w:rsidRDefault="00D31594" w:rsidP="00D31594">
      <w:pPr>
        <w:spacing w:after="0" w:line="240" w:lineRule="auto"/>
        <w:ind w:firstLine="900"/>
        <w:jc w:val="both"/>
        <w:rPr>
          <w:rFonts w:ascii="Times New Roman" w:hAnsi="Times New Roman" w:cs="Times New Roman"/>
          <w:sz w:val="28"/>
          <w:szCs w:val="28"/>
        </w:rPr>
      </w:pPr>
      <w:r w:rsidRPr="004A1537">
        <w:rPr>
          <w:rFonts w:ascii="Times New Roman" w:hAnsi="Times New Roman" w:cs="Times New Roman"/>
          <w:sz w:val="28"/>
          <w:szCs w:val="28"/>
        </w:rPr>
        <w:t xml:space="preserve">Анализ рынка услуг подвижной радиотелефонной связи проведен в соответствии </w:t>
      </w:r>
      <w:r>
        <w:rPr>
          <w:rFonts w:ascii="Times New Roman" w:hAnsi="Times New Roman" w:cs="Times New Roman"/>
          <w:sz w:val="28"/>
          <w:szCs w:val="28"/>
        </w:rPr>
        <w:t xml:space="preserve">с </w:t>
      </w:r>
      <w:r w:rsidRPr="004A1537">
        <w:rPr>
          <w:rFonts w:ascii="Times New Roman" w:hAnsi="Times New Roman" w:cs="Times New Roman"/>
          <w:sz w:val="28"/>
          <w:szCs w:val="28"/>
        </w:rPr>
        <w:t>Порядком проведения анализа состояния конкуренции на товарном рынке, утвержденного Приказом ФАС от 28</w:t>
      </w:r>
      <w:r>
        <w:rPr>
          <w:rFonts w:ascii="Times New Roman" w:hAnsi="Times New Roman" w:cs="Times New Roman"/>
          <w:sz w:val="28"/>
          <w:szCs w:val="28"/>
        </w:rPr>
        <w:t>.04.2</w:t>
      </w:r>
      <w:r w:rsidRPr="004A1537">
        <w:rPr>
          <w:rFonts w:ascii="Times New Roman" w:hAnsi="Times New Roman" w:cs="Times New Roman"/>
          <w:sz w:val="28"/>
          <w:szCs w:val="28"/>
        </w:rPr>
        <w:t>010 № 220</w:t>
      </w:r>
      <w:r>
        <w:rPr>
          <w:rFonts w:ascii="Times New Roman" w:hAnsi="Times New Roman" w:cs="Times New Roman"/>
          <w:sz w:val="28"/>
          <w:szCs w:val="28"/>
        </w:rPr>
        <w:t xml:space="preserve"> (далее – Приказ № 220)</w:t>
      </w:r>
      <w:r w:rsidRPr="004A1537">
        <w:rPr>
          <w:rFonts w:ascii="Times New Roman" w:hAnsi="Times New Roman" w:cs="Times New Roman"/>
          <w:sz w:val="28"/>
          <w:szCs w:val="28"/>
        </w:rPr>
        <w:t>.</w:t>
      </w:r>
    </w:p>
    <w:p w:rsidR="00D31594" w:rsidRDefault="00D31594" w:rsidP="00D31594">
      <w:pPr>
        <w:spacing w:after="0" w:line="240" w:lineRule="auto"/>
        <w:ind w:firstLine="900"/>
        <w:jc w:val="both"/>
        <w:rPr>
          <w:rFonts w:ascii="Times New Roman" w:hAnsi="Times New Roman" w:cs="Times New Roman"/>
          <w:sz w:val="28"/>
          <w:szCs w:val="28"/>
        </w:rPr>
      </w:pPr>
    </w:p>
    <w:p w:rsidR="00D31594" w:rsidRPr="004A1537" w:rsidRDefault="00D31594" w:rsidP="00D31594">
      <w:pPr>
        <w:spacing w:after="0" w:line="240" w:lineRule="auto"/>
        <w:ind w:firstLine="900"/>
        <w:jc w:val="both"/>
        <w:rPr>
          <w:rFonts w:ascii="Times New Roman" w:hAnsi="Times New Roman" w:cs="Times New Roman"/>
          <w:b/>
          <w:sz w:val="28"/>
          <w:szCs w:val="28"/>
        </w:rPr>
      </w:pPr>
      <w:r w:rsidRPr="004A1537">
        <w:rPr>
          <w:rFonts w:ascii="Times New Roman" w:hAnsi="Times New Roman" w:cs="Times New Roman"/>
          <w:b/>
          <w:sz w:val="28"/>
          <w:szCs w:val="28"/>
        </w:rPr>
        <w:t>1. Временной интервал исследования</w:t>
      </w:r>
    </w:p>
    <w:p w:rsidR="00D31594" w:rsidRPr="004A1537" w:rsidRDefault="00D31594" w:rsidP="00D31594">
      <w:pPr>
        <w:spacing w:after="0" w:line="240" w:lineRule="auto"/>
        <w:ind w:firstLine="900"/>
        <w:jc w:val="both"/>
        <w:rPr>
          <w:rFonts w:ascii="Times New Roman" w:hAnsi="Times New Roman" w:cs="Times New Roman"/>
          <w:sz w:val="28"/>
          <w:szCs w:val="28"/>
        </w:rPr>
      </w:pPr>
    </w:p>
    <w:p w:rsidR="00D31594" w:rsidRDefault="00D31594" w:rsidP="00D31594">
      <w:pPr>
        <w:spacing w:after="0" w:line="240" w:lineRule="auto"/>
        <w:ind w:firstLine="900"/>
        <w:jc w:val="both"/>
        <w:rPr>
          <w:rFonts w:ascii="Times New Roman" w:hAnsi="Times New Roman" w:cs="Times New Roman"/>
          <w:sz w:val="28"/>
          <w:szCs w:val="28"/>
        </w:rPr>
      </w:pPr>
      <w:r w:rsidRPr="004A1537">
        <w:rPr>
          <w:rFonts w:ascii="Times New Roman" w:hAnsi="Times New Roman" w:cs="Times New Roman"/>
          <w:sz w:val="28"/>
          <w:szCs w:val="28"/>
        </w:rPr>
        <w:t xml:space="preserve">В соответствии с целью проведенного исследования анализ товарного рынка проведен за </w:t>
      </w:r>
      <w:r>
        <w:rPr>
          <w:rFonts w:ascii="Times New Roman" w:hAnsi="Times New Roman" w:cs="Times New Roman"/>
          <w:sz w:val="28"/>
          <w:szCs w:val="28"/>
        </w:rPr>
        <w:t>20</w:t>
      </w:r>
      <w:r w:rsidRPr="004A1537">
        <w:rPr>
          <w:rFonts w:ascii="Times New Roman" w:hAnsi="Times New Roman" w:cs="Times New Roman"/>
          <w:sz w:val="28"/>
          <w:szCs w:val="28"/>
        </w:rPr>
        <w:t>1</w:t>
      </w:r>
      <w:r w:rsidR="00746845">
        <w:rPr>
          <w:rFonts w:ascii="Times New Roman" w:hAnsi="Times New Roman" w:cs="Times New Roman"/>
          <w:sz w:val="28"/>
          <w:szCs w:val="28"/>
        </w:rPr>
        <w:t>9</w:t>
      </w:r>
      <w:r>
        <w:rPr>
          <w:rFonts w:ascii="Times New Roman" w:hAnsi="Times New Roman" w:cs="Times New Roman"/>
          <w:sz w:val="28"/>
          <w:szCs w:val="28"/>
        </w:rPr>
        <w:t xml:space="preserve"> г.</w:t>
      </w:r>
    </w:p>
    <w:p w:rsidR="00D31594" w:rsidRDefault="00D31594" w:rsidP="00D31594">
      <w:pPr>
        <w:spacing w:after="0" w:line="240" w:lineRule="auto"/>
        <w:ind w:firstLine="900"/>
        <w:jc w:val="both"/>
        <w:rPr>
          <w:rFonts w:ascii="Times New Roman" w:hAnsi="Times New Roman" w:cs="Times New Roman"/>
          <w:sz w:val="28"/>
          <w:szCs w:val="28"/>
        </w:rPr>
      </w:pPr>
    </w:p>
    <w:p w:rsidR="00D31594" w:rsidRDefault="00D31594" w:rsidP="00D31594">
      <w:pPr>
        <w:spacing w:after="0" w:line="240" w:lineRule="auto"/>
        <w:ind w:firstLine="900"/>
        <w:jc w:val="both"/>
        <w:rPr>
          <w:rFonts w:ascii="Times New Roman" w:hAnsi="Times New Roman" w:cs="Times New Roman"/>
          <w:b/>
          <w:sz w:val="28"/>
          <w:szCs w:val="28"/>
        </w:rPr>
      </w:pPr>
      <w:r w:rsidRPr="004A1537">
        <w:rPr>
          <w:rFonts w:ascii="Times New Roman" w:hAnsi="Times New Roman" w:cs="Times New Roman"/>
          <w:b/>
          <w:sz w:val="28"/>
          <w:szCs w:val="28"/>
        </w:rPr>
        <w:t>2. Продуктовые границы рынка</w:t>
      </w:r>
    </w:p>
    <w:p w:rsidR="00D31594" w:rsidRDefault="00D31594" w:rsidP="00D31594">
      <w:pPr>
        <w:pStyle w:val="ConsPlusNormal"/>
        <w:ind w:firstLine="540"/>
        <w:jc w:val="both"/>
        <w:rPr>
          <w:b w:val="0"/>
        </w:rPr>
      </w:pPr>
    </w:p>
    <w:p w:rsidR="00D31594" w:rsidRDefault="00D31594" w:rsidP="00D31594">
      <w:pPr>
        <w:pStyle w:val="ConsPlusNormal"/>
        <w:ind w:firstLine="540"/>
        <w:jc w:val="both"/>
        <w:rPr>
          <w:b w:val="0"/>
        </w:rPr>
      </w:pPr>
      <w:r>
        <w:rPr>
          <w:b w:val="0"/>
        </w:rPr>
        <w:t xml:space="preserve">Согласно пункту 4 статьи 4 Закона о защите конкуренции </w:t>
      </w:r>
      <w:r w:rsidRPr="000B4441">
        <w:rPr>
          <w:b w:val="0"/>
        </w:rPr>
        <w:t>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w:t>
      </w:r>
      <w:r>
        <w:rPr>
          <w:b w:val="0"/>
        </w:rPr>
        <w:t>сть отсутствует за ее пределами.</w:t>
      </w:r>
    </w:p>
    <w:p w:rsidR="00D31594" w:rsidRDefault="00D31594" w:rsidP="00D31594">
      <w:pPr>
        <w:pStyle w:val="ConsPlusNormal"/>
        <w:ind w:firstLine="540"/>
        <w:jc w:val="both"/>
        <w:rPr>
          <w:b w:val="0"/>
          <w:bCs w:val="0"/>
        </w:rPr>
      </w:pPr>
      <w:r>
        <w:rPr>
          <w:b w:val="0"/>
        </w:rPr>
        <w:t xml:space="preserve">Продуктовые границы рынка услуг подвижной радиотелефонной связи определены </w:t>
      </w:r>
      <w:r w:rsidRPr="00AA33DB">
        <w:rPr>
          <w:b w:val="0"/>
        </w:rPr>
        <w:t xml:space="preserve">в соответствии с Перечнем наименований услуг связи, вносимых в лицензии, и перечнем лицензионных условий, утвержденных постановлением Правительства Российской Федерации от </w:t>
      </w:r>
      <w:r w:rsidRPr="00AA33DB">
        <w:rPr>
          <w:b w:val="0"/>
          <w:bCs w:val="0"/>
        </w:rPr>
        <w:t xml:space="preserve">18.02.2005 </w:t>
      </w:r>
      <w:r>
        <w:rPr>
          <w:b w:val="0"/>
          <w:bCs w:val="0"/>
        </w:rPr>
        <w:t>№</w:t>
      </w:r>
      <w:r w:rsidRPr="00AA33DB">
        <w:rPr>
          <w:b w:val="0"/>
          <w:bCs w:val="0"/>
        </w:rPr>
        <w:t xml:space="preserve"> 87</w:t>
      </w:r>
      <w:r>
        <w:rPr>
          <w:b w:val="0"/>
          <w:bCs w:val="0"/>
        </w:rPr>
        <w:t xml:space="preserve"> (далее – Перечень лицензионных условий), который определяет «услуги подвижной радиотелефонной связи» как отдельный вид деятельности.</w:t>
      </w:r>
    </w:p>
    <w:p w:rsidR="00D31594" w:rsidRPr="00AA33DB" w:rsidRDefault="00D31594" w:rsidP="00D31594">
      <w:pPr>
        <w:autoSpaceDE w:val="0"/>
        <w:autoSpaceDN w:val="0"/>
        <w:adjustRightInd w:val="0"/>
        <w:spacing w:after="0" w:line="240" w:lineRule="auto"/>
        <w:ind w:firstLine="540"/>
        <w:jc w:val="both"/>
        <w:rPr>
          <w:rFonts w:ascii="Times New Roman" w:hAnsi="Times New Roman" w:cs="Times New Roman"/>
          <w:sz w:val="28"/>
          <w:szCs w:val="28"/>
        </w:rPr>
      </w:pPr>
      <w:r w:rsidRPr="00AA33DB">
        <w:rPr>
          <w:rFonts w:ascii="Times New Roman" w:hAnsi="Times New Roman" w:cs="Times New Roman"/>
          <w:sz w:val="28"/>
          <w:szCs w:val="28"/>
        </w:rPr>
        <w:lastRenderedPageBreak/>
        <w:t xml:space="preserve">Одними из лицензионных условий осуществления деятельности в области оказания услуг подвижной радиотелефонной связи </w:t>
      </w:r>
      <w:r>
        <w:rPr>
          <w:rFonts w:ascii="Times New Roman" w:hAnsi="Times New Roman" w:cs="Times New Roman"/>
          <w:sz w:val="28"/>
          <w:szCs w:val="28"/>
        </w:rPr>
        <w:t xml:space="preserve">(согласно Перечню лицензионных условий) </w:t>
      </w:r>
      <w:r w:rsidR="00B22EE1">
        <w:rPr>
          <w:rFonts w:ascii="Times New Roman" w:hAnsi="Times New Roman" w:cs="Times New Roman"/>
          <w:sz w:val="28"/>
          <w:szCs w:val="28"/>
        </w:rPr>
        <w:t>являю</w:t>
      </w:r>
      <w:r w:rsidRPr="00AA33DB">
        <w:rPr>
          <w:rFonts w:ascii="Times New Roman" w:hAnsi="Times New Roman" w:cs="Times New Roman"/>
          <w:sz w:val="28"/>
          <w:szCs w:val="28"/>
        </w:rPr>
        <w:t>тся обеспечение предоставления абоненту:</w:t>
      </w:r>
    </w:p>
    <w:p w:rsidR="00D31594" w:rsidRPr="000B4441" w:rsidRDefault="00B22EE1" w:rsidP="00D315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00D31594" w:rsidRPr="000B4441">
        <w:rPr>
          <w:rFonts w:ascii="Times New Roman" w:hAnsi="Times New Roman" w:cs="Times New Roman"/>
          <w:sz w:val="28"/>
          <w:szCs w:val="28"/>
        </w:rPr>
        <w:t xml:space="preserve">) соединений по сети подвижной радиотелефонной связи лицензиата для приема (передачи) голосовой, а также </w:t>
      </w:r>
      <w:proofErr w:type="spellStart"/>
      <w:r w:rsidR="00D31594" w:rsidRPr="000B4441">
        <w:rPr>
          <w:rFonts w:ascii="Times New Roman" w:hAnsi="Times New Roman" w:cs="Times New Roman"/>
          <w:sz w:val="28"/>
          <w:szCs w:val="28"/>
        </w:rPr>
        <w:t>неголосовой</w:t>
      </w:r>
      <w:proofErr w:type="spellEnd"/>
      <w:r w:rsidR="00D31594" w:rsidRPr="000B4441">
        <w:rPr>
          <w:rFonts w:ascii="Times New Roman" w:hAnsi="Times New Roman" w:cs="Times New Roman"/>
          <w:sz w:val="28"/>
          <w:szCs w:val="28"/>
        </w:rPr>
        <w:t xml:space="preserve"> информации с обеспечением непрерывности связи при оказании услуги независимо от местоположения абонента, в том числе при его передвижении;</w:t>
      </w:r>
    </w:p>
    <w:p w:rsidR="00D31594" w:rsidRPr="000B4441" w:rsidRDefault="00B22EE1" w:rsidP="00D315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00D31594" w:rsidRPr="000B4441">
        <w:rPr>
          <w:rFonts w:ascii="Times New Roman" w:hAnsi="Times New Roman" w:cs="Times New Roman"/>
          <w:sz w:val="28"/>
          <w:szCs w:val="28"/>
        </w:rPr>
        <w:t>) соединений с абонентами и (или) пользователями сетей фиксированной телефонной связи сети связи общего пользования;</w:t>
      </w:r>
    </w:p>
    <w:p w:rsidR="00D31594" w:rsidRPr="000B4441" w:rsidRDefault="00B22EE1" w:rsidP="00D315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D31594" w:rsidRPr="000B4441">
        <w:rPr>
          <w:rFonts w:ascii="Times New Roman" w:hAnsi="Times New Roman" w:cs="Times New Roman"/>
          <w:sz w:val="28"/>
          <w:szCs w:val="28"/>
        </w:rPr>
        <w:t>) возможности пользования услугами подвижной радиотелефонной связи при нахождении за пределами территории, указанной в лицензии (только для сетей подвижной радиотелефонной связи стандартов NMT-450, GSM-900/1800, IMT-MC-450);</w:t>
      </w:r>
    </w:p>
    <w:p w:rsidR="00D31594" w:rsidRDefault="00B22EE1" w:rsidP="00D315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w:t>
      </w:r>
      <w:r w:rsidR="00D31594" w:rsidRPr="000B4441">
        <w:rPr>
          <w:rFonts w:ascii="Times New Roman" w:hAnsi="Times New Roman" w:cs="Times New Roman"/>
          <w:sz w:val="28"/>
          <w:szCs w:val="28"/>
        </w:rPr>
        <w:t xml:space="preserve">) доступа к </w:t>
      </w:r>
      <w:proofErr w:type="spellStart"/>
      <w:r w:rsidR="00D31594" w:rsidRPr="000B4441">
        <w:rPr>
          <w:rFonts w:ascii="Times New Roman" w:hAnsi="Times New Roman" w:cs="Times New Roman"/>
          <w:sz w:val="28"/>
          <w:szCs w:val="28"/>
        </w:rPr>
        <w:t>телематическим</w:t>
      </w:r>
      <w:proofErr w:type="spellEnd"/>
      <w:r w:rsidR="00D31594" w:rsidRPr="000B4441">
        <w:rPr>
          <w:rFonts w:ascii="Times New Roman" w:hAnsi="Times New Roman" w:cs="Times New Roman"/>
          <w:sz w:val="28"/>
          <w:szCs w:val="28"/>
        </w:rPr>
        <w:t xml:space="preserve"> услугам связи и услугам связи по передаче данных, за исключением услуг связи по передаче данных для целе</w:t>
      </w:r>
      <w:r w:rsidR="00D31594">
        <w:rPr>
          <w:rFonts w:ascii="Times New Roman" w:hAnsi="Times New Roman" w:cs="Times New Roman"/>
          <w:sz w:val="28"/>
          <w:szCs w:val="28"/>
        </w:rPr>
        <w:t>й передачи голосовой информации.</w:t>
      </w:r>
    </w:p>
    <w:p w:rsidR="00D31594" w:rsidRDefault="00D31594" w:rsidP="00D31594">
      <w:pPr>
        <w:pStyle w:val="ConsPlusNormal"/>
        <w:ind w:firstLine="540"/>
        <w:jc w:val="both"/>
        <w:rPr>
          <w:b w:val="0"/>
        </w:rPr>
      </w:pPr>
      <w:r w:rsidRPr="00E33813">
        <w:rPr>
          <w:b w:val="0"/>
        </w:rPr>
        <w:t>Согласно пункту 7 Правил оказания услуг тел</w:t>
      </w:r>
      <w:r>
        <w:rPr>
          <w:b w:val="0"/>
        </w:rPr>
        <w:t>е</w:t>
      </w:r>
      <w:r w:rsidRPr="00E33813">
        <w:rPr>
          <w:b w:val="0"/>
        </w:rPr>
        <w:t>фонной связи, утвержденных постановлением Правительства Российской Федерации от 09.12.2014 № 1342</w:t>
      </w:r>
      <w:r>
        <w:rPr>
          <w:b w:val="0"/>
        </w:rPr>
        <w:t xml:space="preserve"> (далее – Правила оказания услуг телефонной связи)</w:t>
      </w:r>
      <w:r w:rsidRPr="00E33813">
        <w:rPr>
          <w:b w:val="0"/>
        </w:rPr>
        <w:t>, оказание услуг телефонной связи (в том числе услуг подвижной радиотелефонной связи) может сопровождаться предоставлением оператором связи иных услуг, технологически неразрывно связанных с услугами телефонной связи и направленных на повышение их потребительской ценности, при соблюдении требований, предусмотренных законодательными и иными нормативными правовыми актами Российской Федерации.</w:t>
      </w:r>
    </w:p>
    <w:p w:rsidR="00B22EE1" w:rsidRPr="00B22EE1" w:rsidRDefault="00B22EE1" w:rsidP="00B22EE1">
      <w:pPr>
        <w:spacing w:after="0"/>
        <w:ind w:firstLine="900"/>
        <w:jc w:val="both"/>
        <w:rPr>
          <w:rFonts w:ascii="Times New Roman" w:hAnsi="Times New Roman" w:cs="Times New Roman"/>
          <w:sz w:val="28"/>
          <w:szCs w:val="28"/>
        </w:rPr>
      </w:pPr>
      <w:r w:rsidRPr="00B22EE1">
        <w:rPr>
          <w:rFonts w:ascii="Times New Roman" w:hAnsi="Times New Roman" w:cs="Times New Roman"/>
          <w:sz w:val="28"/>
          <w:szCs w:val="28"/>
        </w:rPr>
        <w:t xml:space="preserve">Также продуктовые границы рынка услуг подвижной радиотелефонной связи определены в соответствии с функциональным назначением </w:t>
      </w:r>
      <w:r w:rsidR="00A91F6F">
        <w:rPr>
          <w:rFonts w:ascii="Times New Roman" w:hAnsi="Times New Roman" w:cs="Times New Roman"/>
          <w:sz w:val="28"/>
          <w:szCs w:val="28"/>
        </w:rPr>
        <w:t>услуги</w:t>
      </w:r>
      <w:r w:rsidRPr="00B22EE1">
        <w:rPr>
          <w:rFonts w:ascii="Times New Roman" w:hAnsi="Times New Roman" w:cs="Times New Roman"/>
          <w:sz w:val="28"/>
          <w:szCs w:val="28"/>
        </w:rPr>
        <w:t>, когда потребителю необходимо осуществить телефонное соединение (входящее или исходящее) с пользователями сетей подвижной и (или) фиксированной связи независимо</w:t>
      </w:r>
      <w:r w:rsidR="00034FAC">
        <w:rPr>
          <w:rFonts w:ascii="Times New Roman" w:hAnsi="Times New Roman" w:cs="Times New Roman"/>
          <w:sz w:val="28"/>
          <w:szCs w:val="28"/>
        </w:rPr>
        <w:t xml:space="preserve"> от местонахождения лиц, </w:t>
      </w:r>
      <w:r w:rsidR="00034FAC" w:rsidRPr="000F12FE">
        <w:rPr>
          <w:rFonts w:ascii="Times New Roman" w:hAnsi="Times New Roman" w:cs="Times New Roman"/>
          <w:sz w:val="28"/>
          <w:szCs w:val="28"/>
        </w:rPr>
        <w:t>осуществляющих/получающих вызов</w:t>
      </w:r>
      <w:r w:rsidR="00E826A2" w:rsidRPr="000F12FE">
        <w:rPr>
          <w:rFonts w:ascii="Times New Roman" w:hAnsi="Times New Roman" w:cs="Times New Roman"/>
          <w:sz w:val="28"/>
          <w:szCs w:val="28"/>
        </w:rPr>
        <w:t xml:space="preserve"> от/на сети подвижной радиотелефонной связи</w:t>
      </w:r>
      <w:r w:rsidR="00034FAC" w:rsidRPr="000F12FE">
        <w:rPr>
          <w:rFonts w:ascii="Times New Roman" w:hAnsi="Times New Roman" w:cs="Times New Roman"/>
          <w:sz w:val="28"/>
          <w:szCs w:val="28"/>
        </w:rPr>
        <w:t>, отправить/получить короткое текстовое сообщение, получить/передать данные и (или) войти в сеть Интернет независимо от местоположения.</w:t>
      </w:r>
    </w:p>
    <w:p w:rsidR="00D31594" w:rsidRPr="007C24ED" w:rsidRDefault="00D31594" w:rsidP="00B22EE1">
      <w:pPr>
        <w:pStyle w:val="a3"/>
        <w:rPr>
          <w:szCs w:val="28"/>
        </w:rPr>
      </w:pPr>
      <w:r w:rsidRPr="00B22EE1">
        <w:rPr>
          <w:szCs w:val="28"/>
        </w:rPr>
        <w:t>Услуги</w:t>
      </w:r>
      <w:r w:rsidRPr="000858CF">
        <w:rPr>
          <w:szCs w:val="28"/>
        </w:rPr>
        <w:t xml:space="preserve"> подвижной радиотелефонной связи не имеют товаров – заменителей, сравнимых по техническим характеристикам и потребительской ценности товара. </w:t>
      </w:r>
    </w:p>
    <w:p w:rsidR="00D31594" w:rsidRPr="004A1537" w:rsidRDefault="00D31594" w:rsidP="00D31594">
      <w:pPr>
        <w:spacing w:after="0" w:line="240" w:lineRule="auto"/>
        <w:ind w:firstLine="900"/>
        <w:jc w:val="both"/>
        <w:rPr>
          <w:rFonts w:ascii="Times New Roman" w:hAnsi="Times New Roman" w:cs="Times New Roman"/>
          <w:sz w:val="28"/>
          <w:szCs w:val="28"/>
        </w:rPr>
      </w:pPr>
    </w:p>
    <w:p w:rsidR="00D31594" w:rsidRPr="0041496F" w:rsidRDefault="00D31594" w:rsidP="00D31594">
      <w:pPr>
        <w:spacing w:after="0" w:line="240" w:lineRule="auto"/>
        <w:ind w:firstLine="900"/>
        <w:jc w:val="both"/>
        <w:rPr>
          <w:rFonts w:ascii="Times New Roman" w:hAnsi="Times New Roman" w:cs="Times New Roman"/>
          <w:b/>
          <w:sz w:val="28"/>
          <w:szCs w:val="28"/>
        </w:rPr>
      </w:pPr>
      <w:r w:rsidRPr="0041496F">
        <w:rPr>
          <w:rFonts w:ascii="Times New Roman" w:hAnsi="Times New Roman" w:cs="Times New Roman"/>
          <w:b/>
          <w:sz w:val="28"/>
          <w:szCs w:val="28"/>
        </w:rPr>
        <w:t>3. Географические границы рынка</w:t>
      </w:r>
    </w:p>
    <w:p w:rsidR="00D31594" w:rsidRPr="0041496F" w:rsidRDefault="00D31594" w:rsidP="00D31594">
      <w:pPr>
        <w:spacing w:after="0" w:line="240" w:lineRule="auto"/>
        <w:ind w:firstLine="900"/>
        <w:jc w:val="both"/>
        <w:rPr>
          <w:rFonts w:ascii="Times New Roman" w:hAnsi="Times New Roman" w:cs="Times New Roman"/>
          <w:sz w:val="28"/>
          <w:szCs w:val="28"/>
        </w:rPr>
      </w:pPr>
    </w:p>
    <w:p w:rsidR="00D31594" w:rsidRPr="0041496F" w:rsidRDefault="00D31594" w:rsidP="00D31594">
      <w:pPr>
        <w:spacing w:after="0" w:line="240" w:lineRule="auto"/>
        <w:ind w:firstLine="540"/>
        <w:jc w:val="both"/>
        <w:rPr>
          <w:rFonts w:ascii="Times New Roman" w:hAnsi="Times New Roman" w:cs="Times New Roman"/>
          <w:sz w:val="28"/>
          <w:szCs w:val="28"/>
        </w:rPr>
      </w:pPr>
      <w:r w:rsidRPr="0041496F">
        <w:rPr>
          <w:rFonts w:ascii="Times New Roman" w:hAnsi="Times New Roman" w:cs="Times New Roman"/>
          <w:sz w:val="28"/>
          <w:szCs w:val="28"/>
        </w:rPr>
        <w:t xml:space="preserve">Географические границы рынка подвижной радиотелефонной связи как </w:t>
      </w:r>
      <w:r w:rsidRPr="0041496F">
        <w:rPr>
          <w:rFonts w:ascii="Times New Roman" w:hAnsi="Times New Roman" w:cs="Times New Roman"/>
          <w:bCs/>
          <w:sz w:val="28"/>
          <w:szCs w:val="28"/>
        </w:rPr>
        <w:t>территория Российской Федерации</w:t>
      </w:r>
      <w:r w:rsidRPr="0041496F">
        <w:rPr>
          <w:rFonts w:ascii="Times New Roman" w:hAnsi="Times New Roman" w:cs="Times New Roman"/>
          <w:sz w:val="28"/>
          <w:szCs w:val="28"/>
        </w:rPr>
        <w:t xml:space="preserve"> определены в соответствии с:</w:t>
      </w:r>
    </w:p>
    <w:p w:rsidR="00D31594" w:rsidRPr="0041496F" w:rsidRDefault="00D31594" w:rsidP="00D31594">
      <w:pPr>
        <w:spacing w:after="0" w:line="240" w:lineRule="auto"/>
        <w:ind w:firstLine="540"/>
        <w:jc w:val="both"/>
        <w:rPr>
          <w:rFonts w:ascii="Times New Roman" w:hAnsi="Times New Roman" w:cs="Times New Roman"/>
          <w:sz w:val="28"/>
          <w:szCs w:val="28"/>
        </w:rPr>
      </w:pPr>
      <w:r w:rsidRPr="0041496F">
        <w:rPr>
          <w:rFonts w:ascii="Times New Roman" w:hAnsi="Times New Roman" w:cs="Times New Roman"/>
          <w:sz w:val="28"/>
          <w:szCs w:val="28"/>
        </w:rPr>
        <w:t xml:space="preserve">1. </w:t>
      </w:r>
      <w:r>
        <w:rPr>
          <w:rFonts w:ascii="Times New Roman" w:hAnsi="Times New Roman" w:cs="Times New Roman"/>
          <w:sz w:val="28"/>
          <w:szCs w:val="28"/>
        </w:rPr>
        <w:t>т</w:t>
      </w:r>
      <w:r w:rsidRPr="0041496F">
        <w:rPr>
          <w:rFonts w:ascii="Times New Roman" w:hAnsi="Times New Roman" w:cs="Times New Roman"/>
          <w:sz w:val="28"/>
          <w:szCs w:val="28"/>
        </w:rPr>
        <w:t xml:space="preserve">ребованиями к построению сетей подвижной связи, утвержденными </w:t>
      </w:r>
      <w:r w:rsidR="00305323">
        <w:rPr>
          <w:rFonts w:ascii="Times New Roman" w:hAnsi="Times New Roman" w:cs="Times New Roman"/>
          <w:sz w:val="28"/>
          <w:szCs w:val="28"/>
        </w:rPr>
        <w:t>п</w:t>
      </w:r>
      <w:r w:rsidR="00305323" w:rsidRPr="00305323">
        <w:rPr>
          <w:rFonts w:ascii="Times New Roman" w:hAnsi="Times New Roman" w:cs="Times New Roman"/>
          <w:sz w:val="28"/>
          <w:szCs w:val="28"/>
        </w:rPr>
        <w:t>риказ</w:t>
      </w:r>
      <w:r w:rsidR="00305323">
        <w:rPr>
          <w:rFonts w:ascii="Times New Roman" w:hAnsi="Times New Roman" w:cs="Times New Roman"/>
          <w:sz w:val="28"/>
          <w:szCs w:val="28"/>
        </w:rPr>
        <w:t>ом</w:t>
      </w:r>
      <w:r w:rsidR="00305323" w:rsidRPr="00305323">
        <w:rPr>
          <w:rFonts w:ascii="Times New Roman" w:hAnsi="Times New Roman" w:cs="Times New Roman"/>
          <w:sz w:val="28"/>
          <w:szCs w:val="28"/>
        </w:rPr>
        <w:t xml:space="preserve"> </w:t>
      </w:r>
      <w:proofErr w:type="spellStart"/>
      <w:r w:rsidR="00305323" w:rsidRPr="00305323">
        <w:rPr>
          <w:rFonts w:ascii="Times New Roman" w:hAnsi="Times New Roman" w:cs="Times New Roman"/>
          <w:sz w:val="28"/>
          <w:szCs w:val="28"/>
        </w:rPr>
        <w:t>Ми</w:t>
      </w:r>
      <w:r w:rsidR="00305323">
        <w:rPr>
          <w:rFonts w:ascii="Times New Roman" w:hAnsi="Times New Roman" w:cs="Times New Roman"/>
          <w:sz w:val="28"/>
          <w:szCs w:val="28"/>
        </w:rPr>
        <w:t>нкомсвязи</w:t>
      </w:r>
      <w:proofErr w:type="spellEnd"/>
      <w:r w:rsidR="00305323">
        <w:rPr>
          <w:rFonts w:ascii="Times New Roman" w:hAnsi="Times New Roman" w:cs="Times New Roman"/>
          <w:sz w:val="28"/>
          <w:szCs w:val="28"/>
        </w:rPr>
        <w:t xml:space="preserve"> России от 20.07.2017 №</w:t>
      </w:r>
      <w:r w:rsidR="00305323" w:rsidRPr="00305323">
        <w:rPr>
          <w:rFonts w:ascii="Times New Roman" w:hAnsi="Times New Roman" w:cs="Times New Roman"/>
          <w:sz w:val="28"/>
          <w:szCs w:val="28"/>
        </w:rPr>
        <w:t xml:space="preserve"> 374 </w:t>
      </w:r>
      <w:r w:rsidRPr="0041496F">
        <w:rPr>
          <w:rFonts w:ascii="Times New Roman" w:hAnsi="Times New Roman" w:cs="Times New Roman"/>
          <w:sz w:val="28"/>
          <w:szCs w:val="28"/>
        </w:rPr>
        <w:t xml:space="preserve">«Об утверждении требований к построению телефонной сети связи общего пользования», в </w:t>
      </w:r>
      <w:r w:rsidRPr="0041496F">
        <w:rPr>
          <w:rFonts w:ascii="Times New Roman" w:hAnsi="Times New Roman" w:cs="Times New Roman"/>
          <w:sz w:val="28"/>
          <w:szCs w:val="28"/>
        </w:rPr>
        <w:lastRenderedPageBreak/>
        <w:t>соответствии с которыми узлы связи размещаются в пределах территории Российской Федерации;</w:t>
      </w:r>
    </w:p>
    <w:p w:rsidR="00D31594" w:rsidRPr="0041496F" w:rsidRDefault="00157C63" w:rsidP="00D315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D31594" w:rsidRPr="0041496F">
        <w:rPr>
          <w:rFonts w:ascii="Times New Roman" w:hAnsi="Times New Roman" w:cs="Times New Roman"/>
          <w:sz w:val="28"/>
          <w:szCs w:val="28"/>
        </w:rPr>
        <w:t xml:space="preserve"> лицензионными условиями осуществления деятельности в области оказания услуг подвижной радиотелефонной связи, в соответствии с которыми лицензиат обязан обеспечить возможности пользования услугами подвижной радиотелефонной связи при нахождении за пределами территории, указанной в лицензии;</w:t>
      </w:r>
    </w:p>
    <w:p w:rsidR="00D31594" w:rsidRDefault="00D31594" w:rsidP="00D31594">
      <w:pPr>
        <w:autoSpaceDE w:val="0"/>
        <w:autoSpaceDN w:val="0"/>
        <w:adjustRightInd w:val="0"/>
        <w:spacing w:after="0" w:line="240" w:lineRule="auto"/>
        <w:ind w:firstLine="540"/>
        <w:jc w:val="both"/>
        <w:rPr>
          <w:rFonts w:ascii="Times New Roman" w:hAnsi="Times New Roman" w:cs="Times New Roman"/>
          <w:sz w:val="28"/>
          <w:szCs w:val="28"/>
        </w:rPr>
      </w:pPr>
      <w:r w:rsidRPr="0041496F">
        <w:rPr>
          <w:rFonts w:ascii="Times New Roman" w:hAnsi="Times New Roman" w:cs="Times New Roman"/>
          <w:sz w:val="28"/>
          <w:szCs w:val="28"/>
        </w:rPr>
        <w:t>3. функциональным назначением услуги, а также позиционированием услуги как услуги связи, оказываемой в пределах территории Российской Федерации.</w:t>
      </w:r>
    </w:p>
    <w:p w:rsidR="00530308" w:rsidRDefault="00530308" w:rsidP="00E826A2">
      <w:pPr>
        <w:autoSpaceDE w:val="0"/>
        <w:autoSpaceDN w:val="0"/>
        <w:adjustRightInd w:val="0"/>
        <w:spacing w:after="0" w:line="240" w:lineRule="auto"/>
        <w:jc w:val="both"/>
        <w:rPr>
          <w:rFonts w:ascii="Times New Roman" w:hAnsi="Times New Roman" w:cs="Times New Roman"/>
          <w:sz w:val="28"/>
          <w:szCs w:val="28"/>
        </w:rPr>
      </w:pPr>
    </w:p>
    <w:p w:rsidR="00D31594" w:rsidRPr="0041496F" w:rsidRDefault="00D31594" w:rsidP="00D31594">
      <w:pPr>
        <w:spacing w:after="0" w:line="240" w:lineRule="auto"/>
        <w:ind w:firstLine="900"/>
        <w:jc w:val="both"/>
        <w:rPr>
          <w:rFonts w:ascii="Times New Roman" w:hAnsi="Times New Roman" w:cs="Times New Roman"/>
          <w:b/>
          <w:sz w:val="28"/>
          <w:szCs w:val="28"/>
        </w:rPr>
      </w:pPr>
      <w:r w:rsidRPr="0041496F">
        <w:rPr>
          <w:rFonts w:ascii="Times New Roman" w:hAnsi="Times New Roman" w:cs="Times New Roman"/>
          <w:b/>
          <w:sz w:val="28"/>
          <w:szCs w:val="28"/>
        </w:rPr>
        <w:t>4. Состав продавцов и покупателей</w:t>
      </w:r>
    </w:p>
    <w:p w:rsidR="00D31594" w:rsidRPr="0041496F" w:rsidRDefault="00D31594" w:rsidP="00D31594">
      <w:pPr>
        <w:spacing w:after="0" w:line="240" w:lineRule="auto"/>
        <w:ind w:firstLine="900"/>
        <w:jc w:val="both"/>
        <w:rPr>
          <w:rFonts w:ascii="Times New Roman" w:hAnsi="Times New Roman" w:cs="Times New Roman"/>
          <w:sz w:val="28"/>
          <w:szCs w:val="28"/>
        </w:rPr>
      </w:pPr>
    </w:p>
    <w:p w:rsidR="00D31594" w:rsidRPr="0041496F" w:rsidRDefault="00D31594" w:rsidP="00D31594">
      <w:pPr>
        <w:spacing w:after="0" w:line="240" w:lineRule="auto"/>
        <w:ind w:firstLine="900"/>
        <w:jc w:val="both"/>
        <w:rPr>
          <w:rFonts w:ascii="Times New Roman" w:hAnsi="Times New Roman" w:cs="Times New Roman"/>
          <w:sz w:val="28"/>
          <w:szCs w:val="28"/>
        </w:rPr>
      </w:pPr>
      <w:r w:rsidRPr="0041496F">
        <w:rPr>
          <w:rFonts w:ascii="Times New Roman" w:hAnsi="Times New Roman" w:cs="Times New Roman"/>
          <w:sz w:val="28"/>
          <w:szCs w:val="28"/>
        </w:rPr>
        <w:t>Покупателями являются абоненты операторов подвижной радиотелефонной связи.</w:t>
      </w:r>
    </w:p>
    <w:p w:rsidR="00D31594" w:rsidRDefault="00D31594" w:rsidP="00D31594">
      <w:pPr>
        <w:spacing w:after="0" w:line="240" w:lineRule="auto"/>
        <w:ind w:firstLine="900"/>
        <w:jc w:val="both"/>
        <w:rPr>
          <w:rFonts w:ascii="Times New Roman" w:hAnsi="Times New Roman" w:cs="Times New Roman"/>
          <w:sz w:val="28"/>
          <w:szCs w:val="28"/>
        </w:rPr>
      </w:pPr>
      <w:r w:rsidRPr="007F3006">
        <w:rPr>
          <w:rFonts w:ascii="Times New Roman" w:hAnsi="Times New Roman" w:cs="Times New Roman"/>
          <w:sz w:val="28"/>
          <w:szCs w:val="28"/>
        </w:rPr>
        <w:t>Продавцами являются операторы связи, оказывающие услуги подвижной радиотелефонной связи и обладающие лицензией на право оказания услуг подвижной радиотелефонной связи, а также операторы связи, оказывающие услуги подвижной радиотелефонной связи при использовании бизнес-модели виртуальных сетей подвижной радиотелефонной связи</w:t>
      </w:r>
      <w:r>
        <w:rPr>
          <w:rFonts w:ascii="Times New Roman" w:hAnsi="Times New Roman" w:cs="Times New Roman"/>
          <w:sz w:val="28"/>
          <w:szCs w:val="28"/>
        </w:rPr>
        <w:t xml:space="preserve"> (далее – операторы подвижной радиотелефонной связи)</w:t>
      </w:r>
      <w:r w:rsidRPr="007F3006">
        <w:rPr>
          <w:rFonts w:ascii="Times New Roman" w:hAnsi="Times New Roman" w:cs="Times New Roman"/>
          <w:sz w:val="28"/>
          <w:szCs w:val="28"/>
        </w:rPr>
        <w:t>.</w:t>
      </w:r>
    </w:p>
    <w:p w:rsidR="00F837E6" w:rsidRDefault="00D31594" w:rsidP="00F837E6">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При опреде</w:t>
      </w:r>
      <w:r w:rsidR="00157C63">
        <w:rPr>
          <w:rFonts w:ascii="Times New Roman" w:hAnsi="Times New Roman" w:cs="Times New Roman"/>
          <w:sz w:val="28"/>
          <w:szCs w:val="28"/>
        </w:rPr>
        <w:t>лении перечня действующих в 2018</w:t>
      </w:r>
      <w:r>
        <w:rPr>
          <w:rFonts w:ascii="Times New Roman" w:hAnsi="Times New Roman" w:cs="Times New Roman"/>
          <w:sz w:val="28"/>
          <w:szCs w:val="28"/>
        </w:rPr>
        <w:t xml:space="preserve"> году операторов подвижной радиотелефонной связи использовалась информация, </w:t>
      </w:r>
      <w:r w:rsidRPr="0041496F">
        <w:rPr>
          <w:rFonts w:ascii="Times New Roman" w:hAnsi="Times New Roman" w:cs="Times New Roman"/>
          <w:sz w:val="28"/>
          <w:szCs w:val="28"/>
        </w:rPr>
        <w:t>представленн</w:t>
      </w:r>
      <w:r>
        <w:rPr>
          <w:rFonts w:ascii="Times New Roman" w:hAnsi="Times New Roman" w:cs="Times New Roman"/>
          <w:sz w:val="28"/>
          <w:szCs w:val="28"/>
        </w:rPr>
        <w:t>ая:</w:t>
      </w:r>
    </w:p>
    <w:p w:rsidR="00F837E6" w:rsidRDefault="00F837E6" w:rsidP="00F837E6">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 </w:t>
      </w:r>
      <w:r w:rsidR="00D31594" w:rsidRPr="0041496F">
        <w:rPr>
          <w:rFonts w:ascii="Times New Roman" w:hAnsi="Times New Roman" w:cs="Times New Roman"/>
          <w:sz w:val="28"/>
          <w:szCs w:val="28"/>
        </w:rPr>
        <w:t xml:space="preserve">на </w:t>
      </w:r>
      <w:r w:rsidR="00D31594">
        <w:rPr>
          <w:rFonts w:ascii="Times New Roman" w:hAnsi="Times New Roman" w:cs="Times New Roman"/>
          <w:sz w:val="28"/>
          <w:szCs w:val="28"/>
        </w:rPr>
        <w:t>официальном Интернет-</w:t>
      </w:r>
      <w:r w:rsidR="00D31594" w:rsidRPr="0041496F">
        <w:rPr>
          <w:rFonts w:ascii="Times New Roman" w:hAnsi="Times New Roman" w:cs="Times New Roman"/>
          <w:sz w:val="28"/>
          <w:szCs w:val="28"/>
        </w:rPr>
        <w:t xml:space="preserve">сайте </w:t>
      </w:r>
      <w:proofErr w:type="spellStart"/>
      <w:r w:rsidR="00D31594" w:rsidRPr="0041496F">
        <w:rPr>
          <w:rFonts w:ascii="Times New Roman" w:hAnsi="Times New Roman" w:cs="Times New Roman"/>
          <w:sz w:val="28"/>
          <w:szCs w:val="28"/>
        </w:rPr>
        <w:t>Роскомнадзора</w:t>
      </w:r>
      <w:proofErr w:type="spellEnd"/>
      <w:r w:rsidR="00D31594">
        <w:rPr>
          <w:rFonts w:ascii="Times New Roman" w:hAnsi="Times New Roman" w:cs="Times New Roman"/>
          <w:sz w:val="28"/>
          <w:szCs w:val="28"/>
        </w:rPr>
        <w:t xml:space="preserve"> об операторах – лицензиатах, операторах, оказывающих услуги подвижной радиотелефонной связи </w:t>
      </w:r>
      <w:r w:rsidR="00D31594" w:rsidRPr="007F3006">
        <w:rPr>
          <w:rFonts w:ascii="Times New Roman" w:hAnsi="Times New Roman" w:cs="Times New Roman"/>
          <w:sz w:val="28"/>
          <w:szCs w:val="28"/>
        </w:rPr>
        <w:t>при использовании бизнес-модели виртуальных сетей подвижной радиотелефонной связи</w:t>
      </w:r>
      <w:r w:rsidR="00D31594">
        <w:rPr>
          <w:rFonts w:ascii="Times New Roman" w:hAnsi="Times New Roman" w:cs="Times New Roman"/>
          <w:sz w:val="28"/>
          <w:szCs w:val="28"/>
        </w:rPr>
        <w:t>;</w:t>
      </w:r>
    </w:p>
    <w:p w:rsidR="00F837E6" w:rsidRDefault="00F837E6" w:rsidP="00F837E6">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 </w:t>
      </w:r>
      <w:r w:rsidR="00D31594" w:rsidRPr="00701A88">
        <w:rPr>
          <w:rFonts w:ascii="Times New Roman" w:hAnsi="Times New Roman" w:cs="Times New Roman"/>
          <w:sz w:val="28"/>
          <w:szCs w:val="28"/>
        </w:rPr>
        <w:t xml:space="preserve">на </w:t>
      </w:r>
      <w:r w:rsidR="00D31594">
        <w:rPr>
          <w:rFonts w:ascii="Times New Roman" w:hAnsi="Times New Roman" w:cs="Times New Roman"/>
          <w:sz w:val="28"/>
          <w:szCs w:val="28"/>
        </w:rPr>
        <w:t>официальном Интернет-</w:t>
      </w:r>
      <w:r w:rsidR="00D31594" w:rsidRPr="00701A88">
        <w:rPr>
          <w:rFonts w:ascii="Times New Roman" w:hAnsi="Times New Roman" w:cs="Times New Roman"/>
          <w:sz w:val="28"/>
          <w:szCs w:val="28"/>
        </w:rPr>
        <w:t xml:space="preserve">сайте </w:t>
      </w:r>
      <w:proofErr w:type="spellStart"/>
      <w:r w:rsidR="00D31594" w:rsidRPr="00701A88">
        <w:rPr>
          <w:rFonts w:ascii="Times New Roman" w:hAnsi="Times New Roman" w:cs="Times New Roman"/>
          <w:sz w:val="28"/>
          <w:szCs w:val="28"/>
        </w:rPr>
        <w:t>Россвязи</w:t>
      </w:r>
      <w:proofErr w:type="spellEnd"/>
      <w:r w:rsidR="00D31594" w:rsidRPr="00701A88">
        <w:rPr>
          <w:rFonts w:ascii="Times New Roman" w:hAnsi="Times New Roman" w:cs="Times New Roman"/>
          <w:sz w:val="28"/>
          <w:szCs w:val="28"/>
        </w:rPr>
        <w:t xml:space="preserve"> об операторах, которым были</w:t>
      </w:r>
      <w:r w:rsidR="00E826A2">
        <w:rPr>
          <w:rFonts w:ascii="Times New Roman" w:hAnsi="Times New Roman" w:cs="Times New Roman"/>
          <w:sz w:val="28"/>
          <w:szCs w:val="28"/>
        </w:rPr>
        <w:t xml:space="preserve"> выделены коды географически не</w:t>
      </w:r>
      <w:r w:rsidR="00D31594" w:rsidRPr="00701A88">
        <w:rPr>
          <w:rFonts w:ascii="Times New Roman" w:hAnsi="Times New Roman" w:cs="Times New Roman"/>
          <w:sz w:val="28"/>
          <w:szCs w:val="28"/>
        </w:rPr>
        <w:t>определяемых зон нумерации (</w:t>
      </w:r>
      <w:r w:rsidR="00D31594" w:rsidRPr="00701A88">
        <w:rPr>
          <w:rFonts w:ascii="Times New Roman" w:hAnsi="Times New Roman" w:cs="Times New Roman"/>
          <w:sz w:val="28"/>
          <w:szCs w:val="28"/>
          <w:lang w:val="en-US"/>
        </w:rPr>
        <w:t>DEF</w:t>
      </w:r>
      <w:r w:rsidR="00D31594" w:rsidRPr="00701A88">
        <w:rPr>
          <w:rFonts w:ascii="Times New Roman" w:hAnsi="Times New Roman" w:cs="Times New Roman"/>
          <w:sz w:val="28"/>
          <w:szCs w:val="28"/>
        </w:rPr>
        <w:t>) на территории Российской Федерации;</w:t>
      </w:r>
    </w:p>
    <w:p w:rsidR="00D31594" w:rsidRPr="00701A88" w:rsidRDefault="00F837E6" w:rsidP="00F837E6">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 </w:t>
      </w:r>
      <w:r w:rsidR="00D31594">
        <w:rPr>
          <w:rFonts w:ascii="Times New Roman" w:hAnsi="Times New Roman" w:cs="Times New Roman"/>
          <w:sz w:val="28"/>
          <w:szCs w:val="28"/>
        </w:rPr>
        <w:t>операторами подвижной радиотелефонной связи о предоставлении/не предоставлении услуг подвиж</w:t>
      </w:r>
      <w:r w:rsidR="00157C63">
        <w:rPr>
          <w:rFonts w:ascii="Times New Roman" w:hAnsi="Times New Roman" w:cs="Times New Roman"/>
          <w:sz w:val="28"/>
          <w:szCs w:val="28"/>
        </w:rPr>
        <w:t>ной радиотелефонной связи в 2018</w:t>
      </w:r>
      <w:r w:rsidR="008E0F37">
        <w:rPr>
          <w:rFonts w:ascii="Times New Roman" w:hAnsi="Times New Roman" w:cs="Times New Roman"/>
          <w:sz w:val="28"/>
          <w:szCs w:val="28"/>
        </w:rPr>
        <w:t xml:space="preserve"> году (</w:t>
      </w:r>
      <w:r w:rsidR="007530C7">
        <w:rPr>
          <w:rFonts w:ascii="Times New Roman" w:hAnsi="Times New Roman" w:cs="Times New Roman"/>
          <w:sz w:val="28"/>
          <w:szCs w:val="28"/>
        </w:rPr>
        <w:t>26</w:t>
      </w:r>
      <w:r w:rsidRPr="007530C7">
        <w:rPr>
          <w:rFonts w:ascii="Times New Roman" w:hAnsi="Times New Roman" w:cs="Times New Roman"/>
          <w:sz w:val="28"/>
          <w:szCs w:val="28"/>
        </w:rPr>
        <w:t xml:space="preserve"> оператор</w:t>
      </w:r>
      <w:r w:rsidR="0009168B">
        <w:rPr>
          <w:rFonts w:ascii="Times New Roman" w:hAnsi="Times New Roman" w:cs="Times New Roman"/>
          <w:sz w:val="28"/>
          <w:szCs w:val="28"/>
        </w:rPr>
        <w:t>ов</w:t>
      </w:r>
      <w:r w:rsidRPr="007530C7">
        <w:rPr>
          <w:rFonts w:ascii="Times New Roman" w:hAnsi="Times New Roman" w:cs="Times New Roman"/>
          <w:sz w:val="28"/>
          <w:szCs w:val="28"/>
        </w:rPr>
        <w:t xml:space="preserve"> сообщил</w:t>
      </w:r>
      <w:r w:rsidR="0009168B">
        <w:rPr>
          <w:rFonts w:ascii="Times New Roman" w:hAnsi="Times New Roman" w:cs="Times New Roman"/>
          <w:sz w:val="28"/>
          <w:szCs w:val="28"/>
        </w:rPr>
        <w:t>и</w:t>
      </w:r>
      <w:r w:rsidRPr="007530C7">
        <w:rPr>
          <w:rFonts w:ascii="Times New Roman" w:hAnsi="Times New Roman" w:cs="Times New Roman"/>
          <w:sz w:val="28"/>
          <w:szCs w:val="28"/>
        </w:rPr>
        <w:t xml:space="preserve"> о </w:t>
      </w:r>
      <w:proofErr w:type="spellStart"/>
      <w:r w:rsidRPr="007530C7">
        <w:rPr>
          <w:rFonts w:ascii="Times New Roman" w:hAnsi="Times New Roman" w:cs="Times New Roman"/>
          <w:sz w:val="28"/>
          <w:szCs w:val="28"/>
        </w:rPr>
        <w:t>не</w:t>
      </w:r>
      <w:r w:rsidR="00157C63" w:rsidRPr="007530C7">
        <w:rPr>
          <w:rFonts w:ascii="Times New Roman" w:hAnsi="Times New Roman" w:cs="Times New Roman"/>
          <w:sz w:val="28"/>
          <w:szCs w:val="28"/>
        </w:rPr>
        <w:t>предоставлении</w:t>
      </w:r>
      <w:proofErr w:type="spellEnd"/>
      <w:r w:rsidR="00157C63" w:rsidRPr="007530C7">
        <w:rPr>
          <w:rFonts w:ascii="Times New Roman" w:hAnsi="Times New Roman" w:cs="Times New Roman"/>
          <w:sz w:val="28"/>
          <w:szCs w:val="28"/>
        </w:rPr>
        <w:t xml:space="preserve"> в</w:t>
      </w:r>
      <w:r w:rsidR="00157C63">
        <w:rPr>
          <w:rFonts w:ascii="Times New Roman" w:hAnsi="Times New Roman" w:cs="Times New Roman"/>
          <w:sz w:val="28"/>
          <w:szCs w:val="28"/>
        </w:rPr>
        <w:t xml:space="preserve"> 2018</w:t>
      </w:r>
      <w:r w:rsidR="00D31594">
        <w:rPr>
          <w:rFonts w:ascii="Times New Roman" w:hAnsi="Times New Roman" w:cs="Times New Roman"/>
          <w:sz w:val="28"/>
          <w:szCs w:val="28"/>
        </w:rPr>
        <w:t xml:space="preserve"> году услуг подвижной радиотелефонной связи). </w:t>
      </w:r>
    </w:p>
    <w:p w:rsidR="00D31594" w:rsidRDefault="00D31594" w:rsidP="00D31594">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Перечень оп</w:t>
      </w:r>
      <w:r w:rsidR="00157C63">
        <w:rPr>
          <w:rFonts w:ascii="Times New Roman" w:hAnsi="Times New Roman" w:cs="Times New Roman"/>
          <w:sz w:val="28"/>
          <w:szCs w:val="28"/>
        </w:rPr>
        <w:t>ераторов связи, оказывающих 2018</w:t>
      </w:r>
      <w:r>
        <w:rPr>
          <w:rFonts w:ascii="Times New Roman" w:hAnsi="Times New Roman" w:cs="Times New Roman"/>
          <w:sz w:val="28"/>
          <w:szCs w:val="28"/>
        </w:rPr>
        <w:t xml:space="preserve"> году услуги подвижной радиотелефонной связи:</w:t>
      </w:r>
    </w:p>
    <w:p w:rsidR="00D31594" w:rsidRDefault="00D31594" w:rsidP="00D31594">
      <w:pPr>
        <w:spacing w:after="0" w:line="240" w:lineRule="auto"/>
        <w:ind w:firstLine="900"/>
        <w:jc w:val="both"/>
        <w:rPr>
          <w:rFonts w:ascii="Times New Roman" w:hAnsi="Times New Roman" w:cs="Times New Roman"/>
          <w:sz w:val="28"/>
          <w:szCs w:val="28"/>
        </w:rPr>
      </w:pPr>
    </w:p>
    <w:p w:rsidR="00D31594" w:rsidRDefault="00D31594" w:rsidP="00D31594">
      <w:pPr>
        <w:spacing w:after="0" w:line="240" w:lineRule="auto"/>
        <w:ind w:firstLine="900"/>
        <w:jc w:val="both"/>
        <w:rPr>
          <w:rFonts w:ascii="Times New Roman" w:hAnsi="Times New Roman" w:cs="Times New Roman"/>
          <w:sz w:val="28"/>
          <w:szCs w:val="28"/>
        </w:rPr>
      </w:pPr>
    </w:p>
    <w:tbl>
      <w:tblPr>
        <w:tblW w:w="14992" w:type="dxa"/>
        <w:tblLook w:val="04A0" w:firstRow="1" w:lastRow="0" w:firstColumn="1" w:lastColumn="0" w:noHBand="0" w:noVBand="1"/>
      </w:tblPr>
      <w:tblGrid>
        <w:gridCol w:w="660"/>
        <w:gridCol w:w="3134"/>
        <w:gridCol w:w="5812"/>
        <w:gridCol w:w="5386"/>
      </w:tblGrid>
      <w:tr w:rsidR="00D31594" w:rsidRPr="00DE2929" w:rsidTr="00ED6F54">
        <w:trPr>
          <w:gridAfter w:val="1"/>
          <w:wAfter w:w="5386" w:type="dxa"/>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1594" w:rsidRPr="00DE2929" w:rsidRDefault="00D31594" w:rsidP="00905F65">
            <w:pPr>
              <w:spacing w:after="0" w:line="240" w:lineRule="auto"/>
              <w:jc w:val="center"/>
              <w:rPr>
                <w:rFonts w:ascii="Times New Roman" w:eastAsia="Times New Roman" w:hAnsi="Times New Roman" w:cs="Times New Roman"/>
                <w:sz w:val="24"/>
                <w:szCs w:val="24"/>
                <w:lang w:eastAsia="ru-RU"/>
              </w:rPr>
            </w:pPr>
            <w:r w:rsidRPr="00DE2929">
              <w:rPr>
                <w:rFonts w:ascii="Times New Roman" w:eastAsia="Times New Roman" w:hAnsi="Times New Roman" w:cs="Times New Roman"/>
                <w:sz w:val="24"/>
                <w:szCs w:val="24"/>
                <w:lang w:eastAsia="ru-RU"/>
              </w:rPr>
              <w:t>п/н</w:t>
            </w:r>
          </w:p>
        </w:tc>
        <w:tc>
          <w:tcPr>
            <w:tcW w:w="3134" w:type="dxa"/>
            <w:tcBorders>
              <w:top w:val="single" w:sz="4" w:space="0" w:color="auto"/>
              <w:left w:val="nil"/>
              <w:bottom w:val="single" w:sz="4" w:space="0" w:color="auto"/>
              <w:right w:val="single" w:sz="4" w:space="0" w:color="auto"/>
            </w:tcBorders>
            <w:shd w:val="clear" w:color="auto" w:fill="auto"/>
            <w:vAlign w:val="center"/>
            <w:hideMark/>
          </w:tcPr>
          <w:p w:rsidR="00D31594" w:rsidRPr="00DE2929" w:rsidRDefault="00D31594" w:rsidP="00905F65">
            <w:pPr>
              <w:spacing w:after="0" w:line="240" w:lineRule="auto"/>
              <w:jc w:val="center"/>
              <w:rPr>
                <w:rFonts w:ascii="Times New Roman" w:eastAsia="Times New Roman" w:hAnsi="Times New Roman" w:cs="Times New Roman"/>
                <w:sz w:val="24"/>
                <w:szCs w:val="24"/>
                <w:lang w:eastAsia="ru-RU"/>
              </w:rPr>
            </w:pPr>
            <w:r w:rsidRPr="00DE2929">
              <w:rPr>
                <w:rFonts w:ascii="Times New Roman" w:eastAsia="Times New Roman" w:hAnsi="Times New Roman" w:cs="Times New Roman"/>
                <w:sz w:val="24"/>
                <w:szCs w:val="24"/>
                <w:lang w:eastAsia="ru-RU"/>
              </w:rPr>
              <w:t>Наименование оператора связи</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D31594" w:rsidRPr="00DE2929" w:rsidRDefault="00D31594" w:rsidP="00905F65">
            <w:pPr>
              <w:spacing w:after="0" w:line="240" w:lineRule="auto"/>
              <w:jc w:val="center"/>
              <w:rPr>
                <w:rFonts w:ascii="Times New Roman" w:eastAsia="Times New Roman" w:hAnsi="Times New Roman" w:cs="Times New Roman"/>
                <w:sz w:val="24"/>
                <w:szCs w:val="24"/>
                <w:lang w:eastAsia="ru-RU"/>
              </w:rPr>
            </w:pPr>
            <w:r w:rsidRPr="00DE2929">
              <w:rPr>
                <w:rFonts w:ascii="Times New Roman" w:eastAsia="Times New Roman" w:hAnsi="Times New Roman" w:cs="Times New Roman"/>
                <w:sz w:val="24"/>
                <w:szCs w:val="24"/>
                <w:lang w:eastAsia="ru-RU"/>
              </w:rPr>
              <w:t>Место нахождения</w:t>
            </w:r>
          </w:p>
        </w:tc>
      </w:tr>
      <w:tr w:rsidR="00D31594" w:rsidRPr="00DE2929" w:rsidTr="00ED6F54">
        <w:trPr>
          <w:gridAfter w:val="1"/>
          <w:wAfter w:w="5386" w:type="dxa"/>
          <w:trHeight w:val="315"/>
        </w:trPr>
        <w:tc>
          <w:tcPr>
            <w:tcW w:w="660" w:type="dxa"/>
            <w:tcBorders>
              <w:top w:val="nil"/>
              <w:left w:val="single" w:sz="4" w:space="0" w:color="auto"/>
              <w:bottom w:val="single" w:sz="4" w:space="0" w:color="auto"/>
              <w:right w:val="single" w:sz="4" w:space="0" w:color="auto"/>
            </w:tcBorders>
            <w:shd w:val="clear" w:color="auto" w:fill="auto"/>
            <w:vAlign w:val="bottom"/>
          </w:tcPr>
          <w:p w:rsidR="00D31594" w:rsidRPr="00DE2929" w:rsidRDefault="00D31594" w:rsidP="00905F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134" w:type="dxa"/>
            <w:tcBorders>
              <w:top w:val="nil"/>
              <w:left w:val="nil"/>
              <w:bottom w:val="single" w:sz="4" w:space="0" w:color="auto"/>
              <w:right w:val="single" w:sz="4" w:space="0" w:color="auto"/>
            </w:tcBorders>
            <w:shd w:val="clear" w:color="auto" w:fill="auto"/>
            <w:vAlign w:val="center"/>
          </w:tcPr>
          <w:p w:rsidR="00D31594" w:rsidRPr="00DE2929" w:rsidRDefault="00D31594" w:rsidP="0057722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ПАО «ВымпелКом»</w:t>
            </w:r>
          </w:p>
        </w:tc>
        <w:tc>
          <w:tcPr>
            <w:tcW w:w="5812" w:type="dxa"/>
            <w:tcBorders>
              <w:top w:val="nil"/>
              <w:left w:val="nil"/>
              <w:bottom w:val="single" w:sz="4" w:space="0" w:color="auto"/>
              <w:right w:val="single" w:sz="4" w:space="0" w:color="auto"/>
            </w:tcBorders>
            <w:shd w:val="clear" w:color="auto" w:fill="auto"/>
            <w:vAlign w:val="center"/>
          </w:tcPr>
          <w:p w:rsidR="00D31594" w:rsidRPr="00DE2929" w:rsidRDefault="00D31594" w:rsidP="00577221">
            <w:pPr>
              <w:spacing w:after="0" w:line="240" w:lineRule="auto"/>
              <w:rPr>
                <w:rFonts w:ascii="Times New Roman" w:eastAsia="Times New Roman" w:hAnsi="Times New Roman" w:cs="Times New Roman"/>
                <w:sz w:val="24"/>
                <w:szCs w:val="24"/>
                <w:lang w:eastAsia="ru-RU"/>
              </w:rPr>
            </w:pPr>
            <w:r w:rsidRPr="00DE2929">
              <w:rPr>
                <w:rFonts w:ascii="Times New Roman" w:eastAsia="Times New Roman" w:hAnsi="Times New Roman" w:cs="Times New Roman"/>
                <w:sz w:val="24"/>
                <w:szCs w:val="24"/>
                <w:lang w:eastAsia="ru-RU"/>
              </w:rPr>
              <w:t>127083, г. Москва, ул. 8-го Марта, д. 10, стр.14</w:t>
            </w:r>
          </w:p>
        </w:tc>
      </w:tr>
      <w:tr w:rsidR="00D31594" w:rsidRPr="00DE2929" w:rsidTr="00ED6F54">
        <w:trPr>
          <w:gridAfter w:val="1"/>
          <w:wAfter w:w="5386" w:type="dxa"/>
          <w:trHeight w:val="315"/>
        </w:trPr>
        <w:tc>
          <w:tcPr>
            <w:tcW w:w="660" w:type="dxa"/>
            <w:tcBorders>
              <w:top w:val="nil"/>
              <w:left w:val="single" w:sz="4" w:space="0" w:color="auto"/>
              <w:bottom w:val="single" w:sz="4" w:space="0" w:color="auto"/>
              <w:right w:val="single" w:sz="4" w:space="0" w:color="auto"/>
            </w:tcBorders>
            <w:shd w:val="clear" w:color="auto" w:fill="auto"/>
            <w:vAlign w:val="bottom"/>
          </w:tcPr>
          <w:p w:rsidR="00D31594" w:rsidRPr="00DE2929" w:rsidRDefault="00D31594" w:rsidP="00905F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134" w:type="dxa"/>
            <w:tcBorders>
              <w:top w:val="nil"/>
              <w:left w:val="nil"/>
              <w:bottom w:val="single" w:sz="4" w:space="0" w:color="auto"/>
              <w:right w:val="single" w:sz="4" w:space="0" w:color="auto"/>
            </w:tcBorders>
            <w:shd w:val="clear" w:color="auto" w:fill="auto"/>
            <w:vAlign w:val="center"/>
          </w:tcPr>
          <w:p w:rsidR="00D31594" w:rsidRDefault="00D31594" w:rsidP="0057722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ГУП «РК «</w:t>
            </w:r>
            <w:proofErr w:type="spellStart"/>
            <w:r>
              <w:rPr>
                <w:rFonts w:ascii="Times New Roman" w:eastAsia="Times New Roman" w:hAnsi="Times New Roman" w:cs="Times New Roman"/>
                <w:color w:val="000000"/>
                <w:sz w:val="24"/>
                <w:szCs w:val="24"/>
                <w:lang w:eastAsia="ru-RU"/>
              </w:rPr>
              <w:t>КрымТелеком</w:t>
            </w:r>
            <w:proofErr w:type="spellEnd"/>
            <w:r>
              <w:rPr>
                <w:rFonts w:ascii="Times New Roman" w:eastAsia="Times New Roman" w:hAnsi="Times New Roman" w:cs="Times New Roman"/>
                <w:color w:val="000000"/>
                <w:sz w:val="24"/>
                <w:szCs w:val="24"/>
                <w:lang w:eastAsia="ru-RU"/>
              </w:rPr>
              <w:t>»</w:t>
            </w:r>
          </w:p>
        </w:tc>
        <w:tc>
          <w:tcPr>
            <w:tcW w:w="5812" w:type="dxa"/>
            <w:tcBorders>
              <w:top w:val="nil"/>
              <w:left w:val="nil"/>
              <w:bottom w:val="single" w:sz="4" w:space="0" w:color="auto"/>
              <w:right w:val="single" w:sz="4" w:space="0" w:color="auto"/>
            </w:tcBorders>
            <w:shd w:val="clear" w:color="auto" w:fill="auto"/>
            <w:vAlign w:val="center"/>
          </w:tcPr>
          <w:p w:rsidR="00D31594" w:rsidRPr="00BF43B2" w:rsidRDefault="00D31594" w:rsidP="00577221">
            <w:pPr>
              <w:spacing w:after="0"/>
              <w:rPr>
                <w:rFonts w:ascii="Times New Roman" w:hAnsi="Times New Roman" w:cs="Times New Roman"/>
                <w:sz w:val="24"/>
                <w:szCs w:val="24"/>
              </w:rPr>
            </w:pPr>
            <w:r>
              <w:rPr>
                <w:rFonts w:ascii="Times New Roman" w:hAnsi="Times New Roman" w:cs="Times New Roman"/>
                <w:sz w:val="24"/>
                <w:szCs w:val="24"/>
              </w:rPr>
              <w:t xml:space="preserve">295000, Республика Крым, </w:t>
            </w:r>
            <w:r w:rsidRPr="00BF43B2">
              <w:rPr>
                <w:rFonts w:ascii="Times New Roman" w:hAnsi="Times New Roman" w:cs="Times New Roman"/>
                <w:sz w:val="24"/>
                <w:szCs w:val="24"/>
              </w:rPr>
              <w:t>г. Симферополь, ул. Серова, д.10</w:t>
            </w:r>
          </w:p>
        </w:tc>
      </w:tr>
      <w:tr w:rsidR="00D31594" w:rsidRPr="00DE2929" w:rsidTr="00ED6F54">
        <w:trPr>
          <w:gridAfter w:val="1"/>
          <w:wAfter w:w="5386" w:type="dxa"/>
          <w:trHeight w:val="315"/>
        </w:trPr>
        <w:tc>
          <w:tcPr>
            <w:tcW w:w="660" w:type="dxa"/>
            <w:tcBorders>
              <w:top w:val="nil"/>
              <w:left w:val="single" w:sz="4" w:space="0" w:color="auto"/>
              <w:bottom w:val="single" w:sz="4" w:space="0" w:color="auto"/>
              <w:right w:val="single" w:sz="4" w:space="0" w:color="auto"/>
            </w:tcBorders>
            <w:shd w:val="clear" w:color="auto" w:fill="auto"/>
            <w:vAlign w:val="bottom"/>
          </w:tcPr>
          <w:p w:rsidR="00D31594" w:rsidRPr="00DE2929" w:rsidRDefault="00D31594" w:rsidP="00905F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p>
        </w:tc>
        <w:tc>
          <w:tcPr>
            <w:tcW w:w="3134" w:type="dxa"/>
            <w:tcBorders>
              <w:top w:val="nil"/>
              <w:left w:val="nil"/>
              <w:bottom w:val="single" w:sz="4" w:space="0" w:color="auto"/>
              <w:right w:val="single" w:sz="4" w:space="0" w:color="auto"/>
            </w:tcBorders>
            <w:shd w:val="clear" w:color="auto" w:fill="auto"/>
            <w:vAlign w:val="center"/>
          </w:tcPr>
          <w:p w:rsidR="00D31594" w:rsidRPr="00DE2929" w:rsidRDefault="00D31594" w:rsidP="0057722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w:t>
            </w:r>
            <w:r w:rsidRPr="00DE2929">
              <w:rPr>
                <w:rFonts w:ascii="Times New Roman" w:eastAsia="Times New Roman" w:hAnsi="Times New Roman" w:cs="Times New Roman"/>
                <w:sz w:val="24"/>
                <w:szCs w:val="24"/>
                <w:lang w:eastAsia="ru-RU"/>
              </w:rPr>
              <w:t>Екатеринбург-2000</w:t>
            </w:r>
            <w:r>
              <w:rPr>
                <w:rFonts w:ascii="Times New Roman" w:eastAsia="Times New Roman" w:hAnsi="Times New Roman" w:cs="Times New Roman"/>
                <w:sz w:val="24"/>
                <w:szCs w:val="24"/>
                <w:lang w:eastAsia="ru-RU"/>
              </w:rPr>
              <w:t>»</w:t>
            </w:r>
          </w:p>
        </w:tc>
        <w:tc>
          <w:tcPr>
            <w:tcW w:w="5812" w:type="dxa"/>
            <w:tcBorders>
              <w:top w:val="nil"/>
              <w:left w:val="nil"/>
              <w:bottom w:val="single" w:sz="4" w:space="0" w:color="auto"/>
              <w:right w:val="single" w:sz="4" w:space="0" w:color="auto"/>
            </w:tcBorders>
            <w:shd w:val="clear" w:color="auto" w:fill="auto"/>
            <w:vAlign w:val="center"/>
          </w:tcPr>
          <w:p w:rsidR="00D31594" w:rsidRPr="00BF43B2" w:rsidRDefault="00D31594" w:rsidP="00577221">
            <w:pPr>
              <w:spacing w:after="0" w:line="240" w:lineRule="auto"/>
              <w:rPr>
                <w:rFonts w:ascii="Times New Roman" w:eastAsia="Times New Roman" w:hAnsi="Times New Roman" w:cs="Times New Roman"/>
                <w:sz w:val="24"/>
                <w:szCs w:val="24"/>
                <w:lang w:eastAsia="ru-RU"/>
              </w:rPr>
            </w:pPr>
            <w:r w:rsidRPr="00BF43B2">
              <w:rPr>
                <w:rFonts w:ascii="Times New Roman" w:eastAsia="Times New Roman" w:hAnsi="Times New Roman" w:cs="Times New Roman"/>
                <w:sz w:val="24"/>
                <w:szCs w:val="24"/>
                <w:lang w:eastAsia="ru-RU"/>
              </w:rPr>
              <w:t>620000, г. Екатеринбург, ул. Мамина-Сибиряка, д.85, этаж 8, оф. 29</w:t>
            </w:r>
          </w:p>
        </w:tc>
      </w:tr>
      <w:tr w:rsidR="00D31594" w:rsidRPr="00DE2929" w:rsidTr="00ED6F54">
        <w:trPr>
          <w:gridAfter w:val="1"/>
          <w:wAfter w:w="5386" w:type="dxa"/>
          <w:trHeight w:val="134"/>
        </w:trPr>
        <w:tc>
          <w:tcPr>
            <w:tcW w:w="660" w:type="dxa"/>
            <w:tcBorders>
              <w:top w:val="nil"/>
              <w:left w:val="single" w:sz="4" w:space="0" w:color="auto"/>
              <w:bottom w:val="single" w:sz="4" w:space="0" w:color="auto"/>
              <w:right w:val="single" w:sz="4" w:space="0" w:color="auto"/>
            </w:tcBorders>
            <w:shd w:val="clear" w:color="auto" w:fill="auto"/>
            <w:vAlign w:val="bottom"/>
          </w:tcPr>
          <w:p w:rsidR="00D31594" w:rsidRPr="00DE2929" w:rsidRDefault="00D31594" w:rsidP="00905F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134" w:type="dxa"/>
            <w:tcBorders>
              <w:top w:val="nil"/>
              <w:left w:val="nil"/>
              <w:bottom w:val="single" w:sz="4" w:space="0" w:color="auto"/>
              <w:right w:val="single" w:sz="4" w:space="0" w:color="auto"/>
            </w:tcBorders>
            <w:shd w:val="clear" w:color="auto" w:fill="auto"/>
            <w:vAlign w:val="center"/>
          </w:tcPr>
          <w:p w:rsidR="00D31594" w:rsidRDefault="00D31594" w:rsidP="0057722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АО «АКОС»</w:t>
            </w:r>
          </w:p>
        </w:tc>
        <w:tc>
          <w:tcPr>
            <w:tcW w:w="5812" w:type="dxa"/>
            <w:tcBorders>
              <w:top w:val="nil"/>
              <w:left w:val="nil"/>
              <w:bottom w:val="single" w:sz="4" w:space="0" w:color="auto"/>
              <w:right w:val="single" w:sz="4" w:space="0" w:color="auto"/>
            </w:tcBorders>
            <w:shd w:val="clear" w:color="auto" w:fill="auto"/>
            <w:vAlign w:val="center"/>
          </w:tcPr>
          <w:p w:rsidR="00D31594" w:rsidRPr="00BF43B2" w:rsidRDefault="00D31594" w:rsidP="00577221">
            <w:pPr>
              <w:spacing w:after="0" w:line="240" w:lineRule="auto"/>
              <w:rPr>
                <w:rFonts w:ascii="Times New Roman" w:eastAsia="Times New Roman" w:hAnsi="Times New Roman" w:cs="Times New Roman"/>
                <w:sz w:val="24"/>
                <w:szCs w:val="24"/>
                <w:lang w:eastAsia="ru-RU"/>
              </w:rPr>
            </w:pPr>
            <w:r w:rsidRPr="00BF43B2">
              <w:rPr>
                <w:rFonts w:ascii="Times New Roman" w:hAnsi="Times New Roman" w:cs="Times New Roman"/>
                <w:sz w:val="24"/>
                <w:szCs w:val="24"/>
              </w:rPr>
              <w:t>690048, г. Владивосток, проспект 100-летия Владивостока, 38А</w:t>
            </w:r>
          </w:p>
        </w:tc>
      </w:tr>
      <w:tr w:rsidR="00D31594" w:rsidRPr="00DE2929" w:rsidTr="00ED6F54">
        <w:trPr>
          <w:gridAfter w:val="1"/>
          <w:wAfter w:w="5386" w:type="dxa"/>
          <w:trHeight w:val="315"/>
        </w:trPr>
        <w:tc>
          <w:tcPr>
            <w:tcW w:w="660" w:type="dxa"/>
            <w:tcBorders>
              <w:top w:val="nil"/>
              <w:left w:val="single" w:sz="4" w:space="0" w:color="auto"/>
              <w:bottom w:val="single" w:sz="4" w:space="0" w:color="auto"/>
              <w:right w:val="single" w:sz="4" w:space="0" w:color="auto"/>
            </w:tcBorders>
            <w:shd w:val="clear" w:color="auto" w:fill="auto"/>
            <w:vAlign w:val="bottom"/>
          </w:tcPr>
          <w:p w:rsidR="00D31594" w:rsidRPr="00DE2929" w:rsidRDefault="00D31594" w:rsidP="00905F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134" w:type="dxa"/>
            <w:tcBorders>
              <w:top w:val="nil"/>
              <w:left w:val="nil"/>
              <w:bottom w:val="single" w:sz="4" w:space="0" w:color="auto"/>
              <w:right w:val="single" w:sz="4" w:space="0" w:color="auto"/>
            </w:tcBorders>
            <w:shd w:val="clear" w:color="auto" w:fill="auto"/>
            <w:vAlign w:val="center"/>
          </w:tcPr>
          <w:p w:rsidR="00D31594" w:rsidRPr="00DE2929" w:rsidRDefault="00D31594" w:rsidP="0057722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w:t>
            </w:r>
            <w:r w:rsidRPr="00DE2929">
              <w:rPr>
                <w:rFonts w:ascii="Times New Roman" w:eastAsia="Times New Roman" w:hAnsi="Times New Roman" w:cs="Times New Roman"/>
                <w:sz w:val="24"/>
                <w:szCs w:val="24"/>
                <w:lang w:eastAsia="ru-RU"/>
              </w:rPr>
              <w:t>К-Телеком</w:t>
            </w:r>
            <w:r>
              <w:rPr>
                <w:rFonts w:ascii="Times New Roman" w:eastAsia="Times New Roman" w:hAnsi="Times New Roman" w:cs="Times New Roman"/>
                <w:sz w:val="24"/>
                <w:szCs w:val="24"/>
                <w:lang w:eastAsia="ru-RU"/>
              </w:rPr>
              <w:t>»</w:t>
            </w:r>
          </w:p>
        </w:tc>
        <w:tc>
          <w:tcPr>
            <w:tcW w:w="5812" w:type="dxa"/>
            <w:tcBorders>
              <w:top w:val="nil"/>
              <w:left w:val="nil"/>
              <w:bottom w:val="single" w:sz="4" w:space="0" w:color="auto"/>
              <w:right w:val="single" w:sz="4" w:space="0" w:color="auto"/>
            </w:tcBorders>
            <w:shd w:val="clear" w:color="auto" w:fill="auto"/>
            <w:vAlign w:val="center"/>
          </w:tcPr>
          <w:p w:rsidR="00D31594" w:rsidRPr="00BF43B2" w:rsidRDefault="00D31594" w:rsidP="00577221">
            <w:pPr>
              <w:spacing w:after="0" w:line="240" w:lineRule="auto"/>
              <w:rPr>
                <w:rFonts w:ascii="Times New Roman" w:eastAsia="Times New Roman" w:hAnsi="Times New Roman" w:cs="Times New Roman"/>
                <w:sz w:val="24"/>
                <w:szCs w:val="24"/>
                <w:lang w:eastAsia="ru-RU"/>
              </w:rPr>
            </w:pPr>
            <w:r w:rsidRPr="00BF43B2">
              <w:rPr>
                <w:rFonts w:ascii="Times New Roman" w:eastAsia="Times New Roman" w:hAnsi="Times New Roman" w:cs="Times New Roman"/>
                <w:sz w:val="24"/>
                <w:szCs w:val="24"/>
                <w:lang w:eastAsia="ru-RU"/>
              </w:rPr>
              <w:t>295000, г. Симферополь, ул. Набережная, 69-А</w:t>
            </w:r>
          </w:p>
        </w:tc>
      </w:tr>
      <w:tr w:rsidR="00D31594" w:rsidRPr="00DE2929" w:rsidTr="00ED6F54">
        <w:trPr>
          <w:gridAfter w:val="1"/>
          <w:wAfter w:w="5386" w:type="dxa"/>
          <w:trHeight w:val="315"/>
        </w:trPr>
        <w:tc>
          <w:tcPr>
            <w:tcW w:w="660" w:type="dxa"/>
            <w:tcBorders>
              <w:top w:val="nil"/>
              <w:left w:val="single" w:sz="4" w:space="0" w:color="auto"/>
              <w:bottom w:val="single" w:sz="4" w:space="0" w:color="auto"/>
              <w:right w:val="single" w:sz="4" w:space="0" w:color="auto"/>
            </w:tcBorders>
            <w:shd w:val="clear" w:color="auto" w:fill="auto"/>
            <w:vAlign w:val="bottom"/>
          </w:tcPr>
          <w:p w:rsidR="00D31594" w:rsidRDefault="00D31594" w:rsidP="00905F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3134" w:type="dxa"/>
            <w:tcBorders>
              <w:top w:val="nil"/>
              <w:left w:val="nil"/>
              <w:bottom w:val="single" w:sz="4" w:space="0" w:color="auto"/>
              <w:right w:val="single" w:sz="4" w:space="0" w:color="auto"/>
            </w:tcBorders>
            <w:shd w:val="clear" w:color="auto" w:fill="auto"/>
            <w:vAlign w:val="center"/>
          </w:tcPr>
          <w:p w:rsidR="00D31594" w:rsidRPr="00BF43B2" w:rsidRDefault="00905F65" w:rsidP="0057722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ООО </w:t>
            </w:r>
            <w:r w:rsidR="00D31594" w:rsidRPr="00BF43B2">
              <w:rPr>
                <w:rFonts w:ascii="Times New Roman" w:eastAsia="Times New Roman" w:hAnsi="Times New Roman" w:cs="Times New Roman"/>
                <w:sz w:val="24"/>
                <w:szCs w:val="24"/>
                <w:lang w:eastAsia="ru-RU"/>
              </w:rPr>
              <w:t>«КТК-ТелеКом»</w:t>
            </w:r>
          </w:p>
        </w:tc>
        <w:tc>
          <w:tcPr>
            <w:tcW w:w="5812" w:type="dxa"/>
            <w:tcBorders>
              <w:top w:val="nil"/>
              <w:left w:val="nil"/>
              <w:bottom w:val="single" w:sz="4" w:space="0" w:color="auto"/>
              <w:right w:val="single" w:sz="4" w:space="0" w:color="auto"/>
            </w:tcBorders>
            <w:shd w:val="clear" w:color="auto" w:fill="auto"/>
            <w:vAlign w:val="center"/>
          </w:tcPr>
          <w:p w:rsidR="00D31594" w:rsidRPr="00BF43B2" w:rsidRDefault="00D31594" w:rsidP="00577221">
            <w:pPr>
              <w:spacing w:after="0"/>
              <w:rPr>
                <w:rFonts w:ascii="Times New Roman" w:hAnsi="Times New Roman" w:cs="Times New Roman"/>
                <w:sz w:val="24"/>
                <w:szCs w:val="24"/>
              </w:rPr>
            </w:pPr>
            <w:r w:rsidRPr="00BF43B2">
              <w:rPr>
                <w:rFonts w:ascii="Times New Roman" w:hAnsi="Times New Roman" w:cs="Times New Roman"/>
                <w:sz w:val="24"/>
                <w:szCs w:val="24"/>
              </w:rPr>
              <w:t>107076, г. Москва, переулок Колодезный, д. 3, стр. 26</w:t>
            </w:r>
          </w:p>
        </w:tc>
      </w:tr>
      <w:tr w:rsidR="00D31594" w:rsidRPr="00DE2929" w:rsidTr="00ED6F54">
        <w:trPr>
          <w:gridAfter w:val="1"/>
          <w:wAfter w:w="5386" w:type="dxa"/>
          <w:trHeight w:val="315"/>
        </w:trPr>
        <w:tc>
          <w:tcPr>
            <w:tcW w:w="660" w:type="dxa"/>
            <w:tcBorders>
              <w:top w:val="nil"/>
              <w:left w:val="single" w:sz="4" w:space="0" w:color="auto"/>
              <w:bottom w:val="single" w:sz="4" w:space="0" w:color="auto"/>
              <w:right w:val="single" w:sz="4" w:space="0" w:color="auto"/>
            </w:tcBorders>
            <w:shd w:val="clear" w:color="auto" w:fill="auto"/>
            <w:vAlign w:val="bottom"/>
          </w:tcPr>
          <w:p w:rsidR="00D31594" w:rsidRPr="00DE2929" w:rsidRDefault="00D31594" w:rsidP="00905F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3134" w:type="dxa"/>
            <w:tcBorders>
              <w:top w:val="nil"/>
              <w:left w:val="nil"/>
              <w:bottom w:val="single" w:sz="4" w:space="0" w:color="auto"/>
              <w:right w:val="single" w:sz="4" w:space="0" w:color="auto"/>
            </w:tcBorders>
            <w:shd w:val="clear" w:color="auto" w:fill="auto"/>
            <w:vAlign w:val="center"/>
          </w:tcPr>
          <w:p w:rsidR="00D31594" w:rsidRDefault="00D31594" w:rsidP="0057722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ПАО «МГТС»</w:t>
            </w:r>
          </w:p>
        </w:tc>
        <w:tc>
          <w:tcPr>
            <w:tcW w:w="5812" w:type="dxa"/>
            <w:tcBorders>
              <w:top w:val="nil"/>
              <w:left w:val="nil"/>
              <w:bottom w:val="single" w:sz="4" w:space="0" w:color="auto"/>
              <w:right w:val="single" w:sz="4" w:space="0" w:color="auto"/>
            </w:tcBorders>
            <w:shd w:val="clear" w:color="auto" w:fill="auto"/>
            <w:vAlign w:val="center"/>
          </w:tcPr>
          <w:p w:rsidR="00D31594" w:rsidRPr="00BF43B2" w:rsidRDefault="00D31594" w:rsidP="00577221">
            <w:pPr>
              <w:spacing w:after="0" w:line="240" w:lineRule="auto"/>
              <w:rPr>
                <w:rFonts w:ascii="Times New Roman" w:eastAsia="Times New Roman" w:hAnsi="Times New Roman" w:cs="Times New Roman"/>
                <w:sz w:val="24"/>
                <w:szCs w:val="24"/>
                <w:lang w:eastAsia="ru-RU"/>
              </w:rPr>
            </w:pPr>
            <w:r w:rsidRPr="00BF43B2">
              <w:rPr>
                <w:rFonts w:ascii="Times New Roman" w:eastAsia="Times New Roman" w:hAnsi="Times New Roman" w:cs="Times New Roman"/>
                <w:sz w:val="24"/>
                <w:szCs w:val="24"/>
                <w:lang w:eastAsia="ru-RU"/>
              </w:rPr>
              <w:t>119017, г. Москва, ул. Б. Ордынка, д. 25, стр. 1</w:t>
            </w:r>
          </w:p>
        </w:tc>
      </w:tr>
      <w:tr w:rsidR="00D31594" w:rsidRPr="00DE2929" w:rsidTr="00ED6F54">
        <w:trPr>
          <w:gridAfter w:val="1"/>
          <w:wAfter w:w="5386" w:type="dxa"/>
          <w:trHeight w:val="315"/>
        </w:trPr>
        <w:tc>
          <w:tcPr>
            <w:tcW w:w="660" w:type="dxa"/>
            <w:tcBorders>
              <w:top w:val="nil"/>
              <w:left w:val="single" w:sz="4" w:space="0" w:color="auto"/>
              <w:bottom w:val="single" w:sz="4" w:space="0" w:color="auto"/>
              <w:right w:val="single" w:sz="4" w:space="0" w:color="auto"/>
            </w:tcBorders>
            <w:shd w:val="clear" w:color="auto" w:fill="auto"/>
            <w:vAlign w:val="bottom"/>
          </w:tcPr>
          <w:p w:rsidR="00D31594" w:rsidRPr="00DE2929" w:rsidRDefault="00D31594" w:rsidP="00905F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134" w:type="dxa"/>
            <w:tcBorders>
              <w:top w:val="nil"/>
              <w:left w:val="nil"/>
              <w:bottom w:val="single" w:sz="4" w:space="0" w:color="auto"/>
              <w:right w:val="single" w:sz="4" w:space="0" w:color="auto"/>
            </w:tcBorders>
            <w:shd w:val="clear" w:color="auto" w:fill="auto"/>
            <w:vAlign w:val="center"/>
          </w:tcPr>
          <w:p w:rsidR="00D31594" w:rsidRPr="00DE2929" w:rsidRDefault="00D31594" w:rsidP="0057722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ПАО «</w:t>
            </w:r>
            <w:r w:rsidRPr="00DE2929">
              <w:rPr>
                <w:rFonts w:ascii="Times New Roman" w:eastAsia="Times New Roman" w:hAnsi="Times New Roman" w:cs="Times New Roman"/>
                <w:color w:val="000000"/>
                <w:sz w:val="24"/>
                <w:szCs w:val="24"/>
                <w:lang w:eastAsia="ru-RU"/>
              </w:rPr>
              <w:t>МегаФон</w:t>
            </w:r>
            <w:r>
              <w:rPr>
                <w:rFonts w:ascii="Times New Roman" w:eastAsia="Times New Roman" w:hAnsi="Times New Roman" w:cs="Times New Roman"/>
                <w:color w:val="000000"/>
                <w:sz w:val="24"/>
                <w:szCs w:val="24"/>
                <w:lang w:eastAsia="ru-RU"/>
              </w:rPr>
              <w:t>»</w:t>
            </w:r>
          </w:p>
        </w:tc>
        <w:tc>
          <w:tcPr>
            <w:tcW w:w="5812" w:type="dxa"/>
            <w:tcBorders>
              <w:top w:val="nil"/>
              <w:left w:val="nil"/>
              <w:bottom w:val="single" w:sz="4" w:space="0" w:color="auto"/>
              <w:right w:val="single" w:sz="4" w:space="0" w:color="auto"/>
            </w:tcBorders>
            <w:shd w:val="clear" w:color="auto" w:fill="auto"/>
            <w:vAlign w:val="center"/>
          </w:tcPr>
          <w:p w:rsidR="00D31594" w:rsidRPr="00BF43B2" w:rsidRDefault="00D31594" w:rsidP="00577221">
            <w:pPr>
              <w:spacing w:after="0" w:line="240" w:lineRule="auto"/>
              <w:rPr>
                <w:rFonts w:ascii="Times New Roman" w:eastAsia="Times New Roman" w:hAnsi="Times New Roman" w:cs="Times New Roman"/>
                <w:sz w:val="24"/>
                <w:szCs w:val="24"/>
                <w:lang w:eastAsia="ru-RU"/>
              </w:rPr>
            </w:pPr>
            <w:r w:rsidRPr="00BF43B2">
              <w:rPr>
                <w:rFonts w:ascii="Times New Roman" w:eastAsia="Times New Roman" w:hAnsi="Times New Roman" w:cs="Times New Roman"/>
                <w:sz w:val="24"/>
                <w:szCs w:val="24"/>
                <w:lang w:eastAsia="ru-RU"/>
              </w:rPr>
              <w:t xml:space="preserve">115035, г. Москва, наб. </w:t>
            </w:r>
            <w:proofErr w:type="spellStart"/>
            <w:r w:rsidRPr="00BF43B2">
              <w:rPr>
                <w:rFonts w:ascii="Times New Roman" w:eastAsia="Times New Roman" w:hAnsi="Times New Roman" w:cs="Times New Roman"/>
                <w:sz w:val="24"/>
                <w:szCs w:val="24"/>
                <w:lang w:eastAsia="ru-RU"/>
              </w:rPr>
              <w:t>Кадашевская</w:t>
            </w:r>
            <w:proofErr w:type="spellEnd"/>
            <w:r w:rsidRPr="00BF43B2">
              <w:rPr>
                <w:rFonts w:ascii="Times New Roman" w:eastAsia="Times New Roman" w:hAnsi="Times New Roman" w:cs="Times New Roman"/>
                <w:sz w:val="24"/>
                <w:szCs w:val="24"/>
                <w:lang w:eastAsia="ru-RU"/>
              </w:rPr>
              <w:t>, 30</w:t>
            </w:r>
          </w:p>
        </w:tc>
      </w:tr>
      <w:tr w:rsidR="00D31594" w:rsidRPr="00DE2929" w:rsidTr="00ED6F54">
        <w:trPr>
          <w:gridAfter w:val="1"/>
          <w:wAfter w:w="5386" w:type="dxa"/>
          <w:trHeight w:val="315"/>
        </w:trPr>
        <w:tc>
          <w:tcPr>
            <w:tcW w:w="660" w:type="dxa"/>
            <w:tcBorders>
              <w:top w:val="nil"/>
              <w:left w:val="single" w:sz="4" w:space="0" w:color="auto"/>
              <w:bottom w:val="single" w:sz="4" w:space="0" w:color="auto"/>
              <w:right w:val="single" w:sz="4" w:space="0" w:color="auto"/>
            </w:tcBorders>
            <w:shd w:val="clear" w:color="auto" w:fill="auto"/>
            <w:vAlign w:val="bottom"/>
          </w:tcPr>
          <w:p w:rsidR="00D31594" w:rsidRPr="00DE2929" w:rsidRDefault="00D31594" w:rsidP="00905F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3134" w:type="dxa"/>
            <w:tcBorders>
              <w:top w:val="nil"/>
              <w:left w:val="nil"/>
              <w:bottom w:val="single" w:sz="4" w:space="0" w:color="auto"/>
              <w:right w:val="single" w:sz="4" w:space="0" w:color="auto"/>
            </w:tcBorders>
            <w:shd w:val="clear" w:color="auto" w:fill="auto"/>
            <w:vAlign w:val="center"/>
          </w:tcPr>
          <w:p w:rsidR="00D31594" w:rsidRPr="00DE2929" w:rsidRDefault="00D31594" w:rsidP="00577221">
            <w:pPr>
              <w:spacing w:after="0" w:line="240" w:lineRule="auto"/>
              <w:rPr>
                <w:rFonts w:ascii="Times New Roman" w:eastAsia="Times New Roman" w:hAnsi="Times New Roman" w:cs="Times New Roman"/>
                <w:color w:val="000000"/>
                <w:sz w:val="24"/>
                <w:szCs w:val="24"/>
                <w:lang w:eastAsia="ru-RU"/>
              </w:rPr>
            </w:pPr>
            <w:r w:rsidRPr="00DE2929">
              <w:rPr>
                <w:rFonts w:ascii="Times New Roman" w:eastAsia="Times New Roman" w:hAnsi="Times New Roman" w:cs="Times New Roman"/>
                <w:color w:val="000000"/>
                <w:sz w:val="24"/>
                <w:szCs w:val="24"/>
                <w:lang w:eastAsia="ru-RU"/>
              </w:rPr>
              <w:t xml:space="preserve">ПАО </w:t>
            </w:r>
            <w:r>
              <w:rPr>
                <w:rFonts w:ascii="Times New Roman" w:eastAsia="Times New Roman" w:hAnsi="Times New Roman" w:cs="Times New Roman"/>
                <w:color w:val="000000"/>
                <w:sz w:val="24"/>
                <w:szCs w:val="24"/>
                <w:lang w:eastAsia="ru-RU"/>
              </w:rPr>
              <w:t>«</w:t>
            </w:r>
            <w:r w:rsidRPr="00DE2929">
              <w:rPr>
                <w:rFonts w:ascii="Times New Roman" w:eastAsia="Times New Roman" w:hAnsi="Times New Roman" w:cs="Times New Roman"/>
                <w:color w:val="000000"/>
                <w:sz w:val="24"/>
                <w:szCs w:val="24"/>
                <w:lang w:eastAsia="ru-RU"/>
              </w:rPr>
              <w:t>МТС</w:t>
            </w:r>
            <w:r>
              <w:rPr>
                <w:rFonts w:ascii="Times New Roman" w:eastAsia="Times New Roman" w:hAnsi="Times New Roman" w:cs="Times New Roman"/>
                <w:color w:val="000000"/>
                <w:sz w:val="24"/>
                <w:szCs w:val="24"/>
                <w:lang w:eastAsia="ru-RU"/>
              </w:rPr>
              <w:t>»</w:t>
            </w:r>
          </w:p>
        </w:tc>
        <w:tc>
          <w:tcPr>
            <w:tcW w:w="5812" w:type="dxa"/>
            <w:tcBorders>
              <w:top w:val="nil"/>
              <w:left w:val="nil"/>
              <w:bottom w:val="single" w:sz="4" w:space="0" w:color="auto"/>
              <w:right w:val="single" w:sz="4" w:space="0" w:color="auto"/>
            </w:tcBorders>
            <w:shd w:val="clear" w:color="auto" w:fill="auto"/>
            <w:vAlign w:val="center"/>
          </w:tcPr>
          <w:p w:rsidR="00D31594" w:rsidRPr="00BF43B2" w:rsidRDefault="00D31594" w:rsidP="00577221">
            <w:pPr>
              <w:spacing w:after="0" w:line="240" w:lineRule="auto"/>
              <w:rPr>
                <w:rFonts w:ascii="Times New Roman" w:eastAsia="Times New Roman" w:hAnsi="Times New Roman" w:cs="Times New Roman"/>
                <w:sz w:val="24"/>
                <w:szCs w:val="24"/>
                <w:lang w:eastAsia="ru-RU"/>
              </w:rPr>
            </w:pPr>
            <w:r w:rsidRPr="00BF43B2">
              <w:rPr>
                <w:rFonts w:ascii="Times New Roman" w:eastAsia="Times New Roman" w:hAnsi="Times New Roman" w:cs="Times New Roman"/>
                <w:sz w:val="24"/>
                <w:szCs w:val="24"/>
                <w:lang w:eastAsia="ru-RU"/>
              </w:rPr>
              <w:t>109147, г. Москва, ул. Марксистская, 4</w:t>
            </w:r>
          </w:p>
        </w:tc>
      </w:tr>
      <w:tr w:rsidR="001B2F97" w:rsidRPr="00DE2929" w:rsidTr="00ED6F54">
        <w:trPr>
          <w:trHeight w:val="315"/>
        </w:trPr>
        <w:tc>
          <w:tcPr>
            <w:tcW w:w="660" w:type="dxa"/>
            <w:tcBorders>
              <w:top w:val="nil"/>
              <w:left w:val="single" w:sz="4" w:space="0" w:color="auto"/>
              <w:bottom w:val="single" w:sz="4" w:space="0" w:color="auto"/>
              <w:right w:val="single" w:sz="4" w:space="0" w:color="auto"/>
            </w:tcBorders>
            <w:shd w:val="clear" w:color="auto" w:fill="auto"/>
            <w:vAlign w:val="bottom"/>
          </w:tcPr>
          <w:p w:rsidR="001B2F97" w:rsidRPr="00DE2929" w:rsidRDefault="001B2F97" w:rsidP="001B2F9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3134" w:type="dxa"/>
            <w:tcBorders>
              <w:top w:val="nil"/>
              <w:left w:val="nil"/>
              <w:bottom w:val="single" w:sz="4" w:space="0" w:color="auto"/>
              <w:right w:val="single" w:sz="4" w:space="0" w:color="auto"/>
            </w:tcBorders>
            <w:shd w:val="clear" w:color="auto" w:fill="auto"/>
            <w:vAlign w:val="center"/>
          </w:tcPr>
          <w:p w:rsidR="001B2F97" w:rsidRDefault="001B2F97" w:rsidP="001B2F9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ПАО «Ростелеком»</w:t>
            </w:r>
          </w:p>
        </w:tc>
        <w:tc>
          <w:tcPr>
            <w:tcW w:w="5812" w:type="dxa"/>
            <w:tcBorders>
              <w:top w:val="nil"/>
              <w:left w:val="nil"/>
              <w:bottom w:val="single" w:sz="4" w:space="0" w:color="auto"/>
              <w:right w:val="single" w:sz="4" w:space="0" w:color="auto"/>
            </w:tcBorders>
            <w:shd w:val="clear" w:color="auto" w:fill="auto"/>
            <w:vAlign w:val="center"/>
          </w:tcPr>
          <w:p w:rsidR="001B2F97" w:rsidRPr="00BF43B2" w:rsidRDefault="001B2F97" w:rsidP="001B2F97">
            <w:pPr>
              <w:spacing w:after="0" w:line="240" w:lineRule="auto"/>
              <w:rPr>
                <w:rFonts w:ascii="Times New Roman" w:eastAsia="Times New Roman" w:hAnsi="Times New Roman" w:cs="Times New Roman"/>
                <w:sz w:val="24"/>
                <w:szCs w:val="24"/>
                <w:lang w:eastAsia="ru-RU"/>
              </w:rPr>
            </w:pPr>
            <w:r w:rsidRPr="00BF43B2">
              <w:rPr>
                <w:rFonts w:ascii="Times New Roman" w:hAnsi="Times New Roman" w:cs="Times New Roman"/>
                <w:sz w:val="24"/>
                <w:szCs w:val="24"/>
              </w:rPr>
              <w:t>115172, г. Москва, ул. Гончарная, д. 30, стр. 1</w:t>
            </w:r>
          </w:p>
        </w:tc>
        <w:tc>
          <w:tcPr>
            <w:tcW w:w="5386" w:type="dxa"/>
            <w:vAlign w:val="bottom"/>
          </w:tcPr>
          <w:p w:rsidR="001B2F97" w:rsidRPr="00DE2929" w:rsidRDefault="001B2F97" w:rsidP="001B2F97">
            <w:pPr>
              <w:spacing w:after="0" w:line="240" w:lineRule="auto"/>
              <w:rPr>
                <w:rFonts w:ascii="Times New Roman" w:eastAsia="Times New Roman" w:hAnsi="Times New Roman" w:cs="Times New Roman"/>
                <w:sz w:val="24"/>
                <w:szCs w:val="24"/>
                <w:lang w:eastAsia="ru-RU"/>
              </w:rPr>
            </w:pPr>
          </w:p>
        </w:tc>
      </w:tr>
      <w:tr w:rsidR="001B2F97" w:rsidRPr="00DE2929" w:rsidTr="00ED6F54">
        <w:trPr>
          <w:gridAfter w:val="1"/>
          <w:wAfter w:w="5386" w:type="dxa"/>
          <w:trHeight w:val="315"/>
        </w:trPr>
        <w:tc>
          <w:tcPr>
            <w:tcW w:w="660" w:type="dxa"/>
            <w:tcBorders>
              <w:top w:val="nil"/>
              <w:left w:val="single" w:sz="4" w:space="0" w:color="auto"/>
              <w:bottom w:val="single" w:sz="4" w:space="0" w:color="auto"/>
              <w:right w:val="single" w:sz="4" w:space="0" w:color="auto"/>
            </w:tcBorders>
            <w:shd w:val="clear" w:color="auto" w:fill="auto"/>
            <w:vAlign w:val="bottom"/>
          </w:tcPr>
          <w:p w:rsidR="001B2F97" w:rsidRPr="00DE2929" w:rsidRDefault="001B2F97" w:rsidP="001B2F9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3134" w:type="dxa"/>
            <w:tcBorders>
              <w:top w:val="nil"/>
              <w:left w:val="nil"/>
              <w:bottom w:val="single" w:sz="4" w:space="0" w:color="auto"/>
              <w:right w:val="single" w:sz="4" w:space="0" w:color="auto"/>
            </w:tcBorders>
            <w:shd w:val="clear" w:color="auto" w:fill="auto"/>
            <w:vAlign w:val="center"/>
          </w:tcPr>
          <w:p w:rsidR="001B2F97" w:rsidRDefault="001B2F97" w:rsidP="0074684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ООО </w:t>
            </w:r>
            <w:r w:rsidR="00746845">
              <w:rPr>
                <w:rFonts w:ascii="Times New Roman" w:eastAsia="Times New Roman" w:hAnsi="Times New Roman" w:cs="Times New Roman"/>
                <w:color w:val="000000"/>
                <w:sz w:val="24"/>
                <w:szCs w:val="24"/>
                <w:lang w:eastAsia="ru-RU"/>
              </w:rPr>
              <w:t>«МСН Телеком»</w:t>
            </w:r>
          </w:p>
        </w:tc>
        <w:tc>
          <w:tcPr>
            <w:tcW w:w="5812" w:type="dxa"/>
            <w:tcBorders>
              <w:top w:val="nil"/>
              <w:left w:val="nil"/>
              <w:bottom w:val="single" w:sz="4" w:space="0" w:color="auto"/>
              <w:right w:val="single" w:sz="4" w:space="0" w:color="auto"/>
            </w:tcBorders>
            <w:shd w:val="clear" w:color="auto" w:fill="auto"/>
            <w:vAlign w:val="center"/>
          </w:tcPr>
          <w:p w:rsidR="001B2F97" w:rsidRPr="000378CD" w:rsidRDefault="00746845" w:rsidP="00746845">
            <w:pPr>
              <w:spacing w:after="0" w:line="240" w:lineRule="auto"/>
              <w:rPr>
                <w:rFonts w:ascii="Times New Roman" w:eastAsia="Times New Roman" w:hAnsi="Times New Roman" w:cs="Times New Roman"/>
                <w:sz w:val="24"/>
                <w:szCs w:val="24"/>
                <w:lang w:eastAsia="ru-RU"/>
              </w:rPr>
            </w:pPr>
            <w:r w:rsidRPr="00746845">
              <w:rPr>
                <w:rFonts w:ascii="Times New Roman" w:hAnsi="Times New Roman" w:cs="Times New Roman"/>
                <w:sz w:val="24"/>
                <w:szCs w:val="24"/>
              </w:rPr>
              <w:t xml:space="preserve">115487, город Москва, </w:t>
            </w:r>
            <w:proofErr w:type="spellStart"/>
            <w:r w:rsidRPr="00746845">
              <w:rPr>
                <w:rFonts w:ascii="Times New Roman" w:hAnsi="Times New Roman" w:cs="Times New Roman"/>
                <w:sz w:val="24"/>
                <w:szCs w:val="24"/>
              </w:rPr>
              <w:t>Нагатинский</w:t>
            </w:r>
            <w:proofErr w:type="spellEnd"/>
            <w:r w:rsidRPr="00746845">
              <w:rPr>
                <w:rFonts w:ascii="Times New Roman" w:hAnsi="Times New Roman" w:cs="Times New Roman"/>
                <w:sz w:val="24"/>
                <w:szCs w:val="24"/>
              </w:rPr>
              <w:t xml:space="preserve"> 2-й проезд, дом 2 строение 8, </w:t>
            </w:r>
            <w:proofErr w:type="spellStart"/>
            <w:r w:rsidRPr="00746845">
              <w:rPr>
                <w:rFonts w:ascii="Times New Roman" w:hAnsi="Times New Roman" w:cs="Times New Roman"/>
                <w:sz w:val="24"/>
                <w:szCs w:val="24"/>
              </w:rPr>
              <w:t>эт</w:t>
            </w:r>
            <w:proofErr w:type="spellEnd"/>
            <w:r w:rsidRPr="00746845">
              <w:rPr>
                <w:rFonts w:ascii="Times New Roman" w:hAnsi="Times New Roman" w:cs="Times New Roman"/>
                <w:sz w:val="24"/>
                <w:szCs w:val="24"/>
              </w:rPr>
              <w:t xml:space="preserve"> 1 </w:t>
            </w:r>
            <w:proofErr w:type="spellStart"/>
            <w:r w:rsidRPr="00746845">
              <w:rPr>
                <w:rFonts w:ascii="Times New Roman" w:hAnsi="Times New Roman" w:cs="Times New Roman"/>
                <w:sz w:val="24"/>
                <w:szCs w:val="24"/>
              </w:rPr>
              <w:t>пом</w:t>
            </w:r>
            <w:proofErr w:type="spellEnd"/>
            <w:r w:rsidRPr="00746845">
              <w:rPr>
                <w:rFonts w:ascii="Times New Roman" w:hAnsi="Times New Roman" w:cs="Times New Roman"/>
                <w:sz w:val="24"/>
                <w:szCs w:val="24"/>
              </w:rPr>
              <w:t xml:space="preserve"> II ком 7</w:t>
            </w:r>
          </w:p>
        </w:tc>
      </w:tr>
      <w:tr w:rsidR="001B2F97" w:rsidRPr="00DE2929" w:rsidTr="00ED6F54">
        <w:trPr>
          <w:gridAfter w:val="1"/>
          <w:wAfter w:w="5386" w:type="dxa"/>
          <w:trHeight w:val="315"/>
        </w:trPr>
        <w:tc>
          <w:tcPr>
            <w:tcW w:w="660" w:type="dxa"/>
            <w:tcBorders>
              <w:top w:val="nil"/>
              <w:left w:val="single" w:sz="4" w:space="0" w:color="auto"/>
              <w:bottom w:val="single" w:sz="4" w:space="0" w:color="auto"/>
              <w:right w:val="single" w:sz="4" w:space="0" w:color="auto"/>
            </w:tcBorders>
            <w:shd w:val="clear" w:color="auto" w:fill="auto"/>
            <w:vAlign w:val="bottom"/>
          </w:tcPr>
          <w:p w:rsidR="001B2F97" w:rsidRPr="00B45EE9" w:rsidRDefault="001B2F97" w:rsidP="001B2F97">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p>
        </w:tc>
        <w:tc>
          <w:tcPr>
            <w:tcW w:w="3134" w:type="dxa"/>
            <w:tcBorders>
              <w:top w:val="nil"/>
              <w:left w:val="nil"/>
              <w:bottom w:val="single" w:sz="4" w:space="0" w:color="auto"/>
              <w:right w:val="single" w:sz="4" w:space="0" w:color="auto"/>
            </w:tcBorders>
            <w:shd w:val="clear" w:color="auto" w:fill="auto"/>
            <w:vAlign w:val="center"/>
          </w:tcPr>
          <w:p w:rsidR="001B2F97" w:rsidRPr="00DE2929" w:rsidRDefault="001B2F97" w:rsidP="001B2F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w:t>
            </w:r>
            <w:proofErr w:type="spellStart"/>
            <w:r>
              <w:rPr>
                <w:rFonts w:ascii="Times New Roman" w:eastAsia="Times New Roman" w:hAnsi="Times New Roman" w:cs="Times New Roman"/>
                <w:sz w:val="24"/>
                <w:szCs w:val="24"/>
                <w:lang w:eastAsia="ru-RU"/>
              </w:rPr>
              <w:t>Скартел</w:t>
            </w:r>
            <w:proofErr w:type="spellEnd"/>
            <w:r>
              <w:rPr>
                <w:rFonts w:ascii="Times New Roman" w:eastAsia="Times New Roman" w:hAnsi="Times New Roman" w:cs="Times New Roman"/>
                <w:sz w:val="24"/>
                <w:szCs w:val="24"/>
                <w:lang w:eastAsia="ru-RU"/>
              </w:rPr>
              <w:t>»</w:t>
            </w:r>
          </w:p>
        </w:tc>
        <w:tc>
          <w:tcPr>
            <w:tcW w:w="5812" w:type="dxa"/>
            <w:tcBorders>
              <w:top w:val="nil"/>
              <w:left w:val="nil"/>
              <w:bottom w:val="single" w:sz="4" w:space="0" w:color="auto"/>
              <w:right w:val="single" w:sz="4" w:space="0" w:color="auto"/>
            </w:tcBorders>
            <w:shd w:val="clear" w:color="auto" w:fill="auto"/>
            <w:vAlign w:val="center"/>
          </w:tcPr>
          <w:p w:rsidR="001B2F97" w:rsidRPr="000378CD" w:rsidRDefault="001B2F97" w:rsidP="001B2F97">
            <w:pPr>
              <w:spacing w:after="0" w:line="240" w:lineRule="auto"/>
              <w:rPr>
                <w:rFonts w:ascii="Times New Roman" w:eastAsia="Times New Roman" w:hAnsi="Times New Roman" w:cs="Times New Roman"/>
                <w:sz w:val="24"/>
                <w:szCs w:val="24"/>
                <w:lang w:eastAsia="ru-RU"/>
              </w:rPr>
            </w:pPr>
            <w:r w:rsidRPr="000378CD">
              <w:rPr>
                <w:rFonts w:ascii="Times New Roman" w:eastAsia="Times New Roman" w:hAnsi="Times New Roman" w:cs="Times New Roman"/>
                <w:sz w:val="24"/>
                <w:szCs w:val="24"/>
                <w:lang w:eastAsia="ru-RU"/>
              </w:rPr>
              <w:t xml:space="preserve">107140, г. Москва, ул. </w:t>
            </w:r>
            <w:proofErr w:type="spellStart"/>
            <w:r w:rsidRPr="000378CD">
              <w:rPr>
                <w:rFonts w:ascii="Times New Roman" w:eastAsia="Times New Roman" w:hAnsi="Times New Roman" w:cs="Times New Roman"/>
                <w:sz w:val="24"/>
                <w:szCs w:val="24"/>
                <w:lang w:eastAsia="ru-RU"/>
              </w:rPr>
              <w:t>Русаковская</w:t>
            </w:r>
            <w:proofErr w:type="spellEnd"/>
            <w:r w:rsidRPr="000378CD">
              <w:rPr>
                <w:rFonts w:ascii="Times New Roman" w:eastAsia="Times New Roman" w:hAnsi="Times New Roman" w:cs="Times New Roman"/>
                <w:sz w:val="24"/>
                <w:szCs w:val="24"/>
                <w:lang w:eastAsia="ru-RU"/>
              </w:rPr>
              <w:t>, 13</w:t>
            </w:r>
          </w:p>
        </w:tc>
      </w:tr>
      <w:tr w:rsidR="001B2F97" w:rsidRPr="00DE2929" w:rsidTr="00ED6F54">
        <w:trPr>
          <w:gridAfter w:val="1"/>
          <w:wAfter w:w="5386" w:type="dxa"/>
          <w:trHeight w:val="315"/>
        </w:trPr>
        <w:tc>
          <w:tcPr>
            <w:tcW w:w="660" w:type="dxa"/>
            <w:tcBorders>
              <w:top w:val="nil"/>
              <w:left w:val="single" w:sz="4" w:space="0" w:color="auto"/>
              <w:bottom w:val="single" w:sz="4" w:space="0" w:color="auto"/>
              <w:right w:val="single" w:sz="4" w:space="0" w:color="auto"/>
            </w:tcBorders>
            <w:shd w:val="clear" w:color="auto" w:fill="auto"/>
            <w:vAlign w:val="bottom"/>
          </w:tcPr>
          <w:p w:rsidR="001B2F97" w:rsidRPr="00DE2929" w:rsidRDefault="001B2F97" w:rsidP="001B2F9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3134" w:type="dxa"/>
            <w:tcBorders>
              <w:top w:val="nil"/>
              <w:left w:val="nil"/>
              <w:bottom w:val="single" w:sz="4" w:space="0" w:color="auto"/>
              <w:right w:val="single" w:sz="4" w:space="0" w:color="auto"/>
            </w:tcBorders>
            <w:shd w:val="clear" w:color="auto" w:fill="auto"/>
            <w:vAlign w:val="center"/>
          </w:tcPr>
          <w:p w:rsidR="001B2F97" w:rsidRPr="00DE2929" w:rsidRDefault="001B2F97" w:rsidP="001B2F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w:t>
            </w:r>
            <w:proofErr w:type="spellStart"/>
            <w:r>
              <w:rPr>
                <w:rFonts w:ascii="Times New Roman" w:eastAsia="Times New Roman" w:hAnsi="Times New Roman" w:cs="Times New Roman"/>
                <w:sz w:val="24"/>
                <w:szCs w:val="24"/>
                <w:lang w:eastAsia="ru-RU"/>
              </w:rPr>
              <w:t>СевТелеКомСвязь</w:t>
            </w:r>
            <w:proofErr w:type="spellEnd"/>
            <w:r>
              <w:rPr>
                <w:rFonts w:ascii="Times New Roman" w:eastAsia="Times New Roman" w:hAnsi="Times New Roman" w:cs="Times New Roman"/>
                <w:sz w:val="24"/>
                <w:szCs w:val="24"/>
                <w:lang w:eastAsia="ru-RU"/>
              </w:rPr>
              <w:t>»</w:t>
            </w:r>
          </w:p>
        </w:tc>
        <w:tc>
          <w:tcPr>
            <w:tcW w:w="5812" w:type="dxa"/>
            <w:tcBorders>
              <w:top w:val="nil"/>
              <w:left w:val="nil"/>
              <w:bottom w:val="single" w:sz="4" w:space="0" w:color="auto"/>
              <w:right w:val="single" w:sz="4" w:space="0" w:color="auto"/>
            </w:tcBorders>
            <w:shd w:val="clear" w:color="auto" w:fill="auto"/>
            <w:vAlign w:val="center"/>
          </w:tcPr>
          <w:p w:rsidR="001B2F97" w:rsidRPr="000378CD" w:rsidRDefault="008E0F37" w:rsidP="001B2F97">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299011, г. Севастополь, </w:t>
            </w:r>
            <w:r w:rsidR="000378CD" w:rsidRPr="000378CD">
              <w:rPr>
                <w:rFonts w:ascii="Times New Roman" w:hAnsi="Times New Roman" w:cs="Times New Roman"/>
                <w:sz w:val="24"/>
                <w:szCs w:val="24"/>
              </w:rPr>
              <w:t>ул. Большая Морская, д. 19</w:t>
            </w:r>
          </w:p>
        </w:tc>
      </w:tr>
      <w:tr w:rsidR="001B2F97" w:rsidRPr="00DE2929" w:rsidTr="00ED6F54">
        <w:trPr>
          <w:gridAfter w:val="1"/>
          <w:wAfter w:w="5386" w:type="dxa"/>
          <w:trHeight w:val="315"/>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tcPr>
          <w:p w:rsidR="001B2F97" w:rsidRPr="00DE2929" w:rsidRDefault="001B2F97" w:rsidP="001B2F9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3134" w:type="dxa"/>
            <w:tcBorders>
              <w:top w:val="single" w:sz="4" w:space="0" w:color="auto"/>
              <w:left w:val="nil"/>
              <w:bottom w:val="single" w:sz="4" w:space="0" w:color="auto"/>
              <w:right w:val="single" w:sz="4" w:space="0" w:color="auto"/>
            </w:tcBorders>
            <w:shd w:val="clear" w:color="auto" w:fill="auto"/>
            <w:vAlign w:val="center"/>
          </w:tcPr>
          <w:p w:rsidR="001B2F97" w:rsidRPr="00DE2929" w:rsidRDefault="001B2F97" w:rsidP="001B2F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ООО «Тинькофф </w:t>
            </w:r>
            <w:proofErr w:type="spellStart"/>
            <w:r>
              <w:rPr>
                <w:rFonts w:ascii="Times New Roman" w:eastAsia="Times New Roman" w:hAnsi="Times New Roman" w:cs="Times New Roman"/>
                <w:sz w:val="24"/>
                <w:szCs w:val="24"/>
                <w:lang w:eastAsia="ru-RU"/>
              </w:rPr>
              <w:t>Мобайл</w:t>
            </w:r>
            <w:proofErr w:type="spellEnd"/>
            <w:r>
              <w:rPr>
                <w:rFonts w:ascii="Times New Roman" w:eastAsia="Times New Roman" w:hAnsi="Times New Roman" w:cs="Times New Roman"/>
                <w:sz w:val="24"/>
                <w:szCs w:val="24"/>
                <w:lang w:eastAsia="ru-RU"/>
              </w:rPr>
              <w:t>»</w:t>
            </w:r>
          </w:p>
        </w:tc>
        <w:tc>
          <w:tcPr>
            <w:tcW w:w="5812" w:type="dxa"/>
            <w:tcBorders>
              <w:top w:val="single" w:sz="4" w:space="0" w:color="auto"/>
              <w:left w:val="nil"/>
              <w:bottom w:val="single" w:sz="4" w:space="0" w:color="auto"/>
              <w:right w:val="single" w:sz="4" w:space="0" w:color="auto"/>
            </w:tcBorders>
            <w:shd w:val="clear" w:color="auto" w:fill="auto"/>
            <w:vAlign w:val="center"/>
          </w:tcPr>
          <w:p w:rsidR="001B2F97" w:rsidRPr="000378CD" w:rsidRDefault="000378CD" w:rsidP="001B2F97">
            <w:pPr>
              <w:spacing w:after="0" w:line="240" w:lineRule="auto"/>
              <w:rPr>
                <w:rFonts w:ascii="Times New Roman" w:eastAsia="Times New Roman" w:hAnsi="Times New Roman" w:cs="Times New Roman"/>
                <w:sz w:val="24"/>
                <w:szCs w:val="24"/>
                <w:lang w:eastAsia="ru-RU"/>
              </w:rPr>
            </w:pPr>
            <w:r w:rsidRPr="000378CD">
              <w:rPr>
                <w:rFonts w:ascii="Times New Roman" w:hAnsi="Times New Roman" w:cs="Times New Roman"/>
                <w:sz w:val="24"/>
                <w:szCs w:val="24"/>
              </w:rPr>
              <w:t xml:space="preserve">125212, </w:t>
            </w:r>
            <w:proofErr w:type="spellStart"/>
            <w:r w:rsidRPr="000378CD">
              <w:rPr>
                <w:rFonts w:ascii="Times New Roman" w:hAnsi="Times New Roman" w:cs="Times New Roman"/>
                <w:sz w:val="24"/>
                <w:szCs w:val="24"/>
              </w:rPr>
              <w:t>г.Москва</w:t>
            </w:r>
            <w:proofErr w:type="spellEnd"/>
            <w:r w:rsidRPr="000378CD">
              <w:rPr>
                <w:rFonts w:ascii="Times New Roman" w:hAnsi="Times New Roman" w:cs="Times New Roman"/>
                <w:sz w:val="24"/>
                <w:szCs w:val="24"/>
              </w:rPr>
              <w:t xml:space="preserve">, </w:t>
            </w:r>
            <w:proofErr w:type="spellStart"/>
            <w:r w:rsidRPr="000378CD">
              <w:rPr>
                <w:rFonts w:ascii="Times New Roman" w:hAnsi="Times New Roman" w:cs="Times New Roman"/>
                <w:sz w:val="24"/>
                <w:szCs w:val="24"/>
              </w:rPr>
              <w:t>Головинское</w:t>
            </w:r>
            <w:proofErr w:type="spellEnd"/>
            <w:r w:rsidRPr="000378CD">
              <w:rPr>
                <w:rFonts w:ascii="Times New Roman" w:hAnsi="Times New Roman" w:cs="Times New Roman"/>
                <w:sz w:val="24"/>
                <w:szCs w:val="24"/>
              </w:rPr>
              <w:t xml:space="preserve"> шоссе, дом 5 корпус 1, этаж/пом. 25/25022</w:t>
            </w:r>
          </w:p>
        </w:tc>
      </w:tr>
      <w:tr w:rsidR="001B2F97" w:rsidRPr="00DE2929" w:rsidTr="00ED6F54">
        <w:trPr>
          <w:gridAfter w:val="1"/>
          <w:wAfter w:w="5386" w:type="dxa"/>
          <w:trHeight w:val="315"/>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tcPr>
          <w:p w:rsidR="001B2F97" w:rsidRPr="00DE2929" w:rsidRDefault="001B2F97" w:rsidP="001B2F9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3134" w:type="dxa"/>
            <w:tcBorders>
              <w:top w:val="single" w:sz="4" w:space="0" w:color="auto"/>
              <w:left w:val="nil"/>
              <w:bottom w:val="single" w:sz="4" w:space="0" w:color="auto"/>
              <w:right w:val="single" w:sz="4" w:space="0" w:color="auto"/>
            </w:tcBorders>
            <w:shd w:val="clear" w:color="auto" w:fill="auto"/>
            <w:vAlign w:val="center"/>
          </w:tcPr>
          <w:p w:rsidR="001B2F97" w:rsidRDefault="00746845" w:rsidP="001B2F9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АО «</w:t>
            </w:r>
            <w:proofErr w:type="spellStart"/>
            <w:r>
              <w:rPr>
                <w:rFonts w:ascii="Times New Roman" w:eastAsia="Times New Roman" w:hAnsi="Times New Roman" w:cs="Times New Roman"/>
                <w:color w:val="000000"/>
                <w:sz w:val="24"/>
                <w:szCs w:val="24"/>
                <w:lang w:eastAsia="ru-RU"/>
              </w:rPr>
              <w:t>Вайнах</w:t>
            </w:r>
            <w:proofErr w:type="spellEnd"/>
            <w:r>
              <w:rPr>
                <w:rFonts w:ascii="Times New Roman" w:eastAsia="Times New Roman" w:hAnsi="Times New Roman" w:cs="Times New Roman"/>
                <w:color w:val="000000"/>
                <w:sz w:val="24"/>
                <w:szCs w:val="24"/>
                <w:lang w:eastAsia="ru-RU"/>
              </w:rPr>
              <w:t xml:space="preserve"> Телеком»</w:t>
            </w:r>
          </w:p>
        </w:tc>
        <w:tc>
          <w:tcPr>
            <w:tcW w:w="5812" w:type="dxa"/>
            <w:tcBorders>
              <w:top w:val="single" w:sz="4" w:space="0" w:color="auto"/>
              <w:left w:val="nil"/>
              <w:bottom w:val="single" w:sz="4" w:space="0" w:color="auto"/>
              <w:right w:val="single" w:sz="4" w:space="0" w:color="auto"/>
            </w:tcBorders>
            <w:shd w:val="clear" w:color="auto" w:fill="auto"/>
            <w:vAlign w:val="center"/>
          </w:tcPr>
          <w:p w:rsidR="001B2F97" w:rsidRPr="000378CD" w:rsidRDefault="00746845" w:rsidP="001B2F97">
            <w:pPr>
              <w:spacing w:after="0" w:line="240" w:lineRule="auto"/>
              <w:rPr>
                <w:rFonts w:ascii="Times New Roman" w:eastAsia="Times New Roman" w:hAnsi="Times New Roman" w:cs="Times New Roman"/>
                <w:sz w:val="24"/>
                <w:szCs w:val="24"/>
                <w:lang w:eastAsia="ru-RU"/>
              </w:rPr>
            </w:pPr>
            <w:r w:rsidRPr="00746845">
              <w:rPr>
                <w:rFonts w:ascii="Times New Roman" w:hAnsi="Times New Roman" w:cs="Times New Roman"/>
                <w:sz w:val="24"/>
                <w:szCs w:val="24"/>
              </w:rPr>
              <w:t xml:space="preserve">364013, республика Чеченская, город Грозный, улица им Шейха </w:t>
            </w:r>
            <w:proofErr w:type="gramStart"/>
            <w:r w:rsidRPr="00746845">
              <w:rPr>
                <w:rFonts w:ascii="Times New Roman" w:hAnsi="Times New Roman" w:cs="Times New Roman"/>
                <w:sz w:val="24"/>
                <w:szCs w:val="24"/>
              </w:rPr>
              <w:t>А-</w:t>
            </w:r>
            <w:proofErr w:type="spellStart"/>
            <w:r w:rsidRPr="00746845">
              <w:rPr>
                <w:rFonts w:ascii="Times New Roman" w:hAnsi="Times New Roman" w:cs="Times New Roman"/>
                <w:sz w:val="24"/>
                <w:szCs w:val="24"/>
              </w:rPr>
              <w:t>Х</w:t>
            </w:r>
            <w:proofErr w:type="gramEnd"/>
            <w:r w:rsidRPr="00746845">
              <w:rPr>
                <w:rFonts w:ascii="Times New Roman" w:hAnsi="Times New Roman" w:cs="Times New Roman"/>
                <w:sz w:val="24"/>
                <w:szCs w:val="24"/>
              </w:rPr>
              <w:t>.С.Яндарова</w:t>
            </w:r>
            <w:proofErr w:type="spellEnd"/>
            <w:r w:rsidRPr="00746845">
              <w:rPr>
                <w:rFonts w:ascii="Times New Roman" w:hAnsi="Times New Roman" w:cs="Times New Roman"/>
                <w:sz w:val="24"/>
                <w:szCs w:val="24"/>
              </w:rPr>
              <w:t>, дом 17</w:t>
            </w:r>
          </w:p>
        </w:tc>
      </w:tr>
      <w:tr w:rsidR="00ED6F54" w:rsidRPr="00DE2929" w:rsidTr="00ED6F54">
        <w:trPr>
          <w:gridAfter w:val="1"/>
          <w:wAfter w:w="5386" w:type="dxa"/>
          <w:trHeight w:val="315"/>
        </w:trPr>
        <w:tc>
          <w:tcPr>
            <w:tcW w:w="660" w:type="dxa"/>
            <w:tcBorders>
              <w:top w:val="nil"/>
              <w:left w:val="single" w:sz="4" w:space="0" w:color="auto"/>
              <w:bottom w:val="single" w:sz="4" w:space="0" w:color="auto"/>
              <w:right w:val="single" w:sz="4" w:space="0" w:color="auto"/>
            </w:tcBorders>
            <w:shd w:val="clear" w:color="auto" w:fill="auto"/>
            <w:vAlign w:val="bottom"/>
          </w:tcPr>
          <w:p w:rsidR="00ED6F54" w:rsidRDefault="00ED6F54" w:rsidP="001B2F9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3134" w:type="dxa"/>
            <w:tcBorders>
              <w:top w:val="nil"/>
              <w:left w:val="nil"/>
              <w:bottom w:val="single" w:sz="4" w:space="0" w:color="auto"/>
              <w:right w:val="single" w:sz="4" w:space="0" w:color="auto"/>
            </w:tcBorders>
            <w:shd w:val="clear" w:color="auto" w:fill="auto"/>
            <w:vAlign w:val="center"/>
          </w:tcPr>
          <w:p w:rsidR="00ED6F54" w:rsidRDefault="00ED6F54" w:rsidP="001B2F9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ООО «Твои мобильные технологии»</w:t>
            </w:r>
          </w:p>
        </w:tc>
        <w:tc>
          <w:tcPr>
            <w:tcW w:w="5812" w:type="dxa"/>
            <w:tcBorders>
              <w:top w:val="nil"/>
              <w:left w:val="nil"/>
              <w:bottom w:val="single" w:sz="4" w:space="0" w:color="auto"/>
              <w:right w:val="single" w:sz="4" w:space="0" w:color="auto"/>
            </w:tcBorders>
            <w:shd w:val="clear" w:color="auto" w:fill="auto"/>
            <w:vAlign w:val="center"/>
          </w:tcPr>
          <w:p w:rsidR="00ED6F54" w:rsidRPr="000378CD" w:rsidRDefault="00ED6F54" w:rsidP="001B2F97">
            <w:pPr>
              <w:spacing w:after="0" w:line="240" w:lineRule="auto"/>
              <w:rPr>
                <w:rFonts w:ascii="Times New Roman" w:hAnsi="Times New Roman" w:cs="Times New Roman"/>
                <w:sz w:val="24"/>
                <w:szCs w:val="24"/>
              </w:rPr>
            </w:pPr>
            <w:r w:rsidRPr="00DE2929">
              <w:rPr>
                <w:rFonts w:ascii="Times New Roman" w:eastAsia="Times New Roman" w:hAnsi="Times New Roman" w:cs="Times New Roman"/>
                <w:sz w:val="24"/>
                <w:szCs w:val="24"/>
                <w:lang w:eastAsia="ru-RU"/>
              </w:rPr>
              <w:t>420012, г. Казань, ул. Бутлерова, д. 54</w:t>
            </w:r>
          </w:p>
        </w:tc>
      </w:tr>
      <w:tr w:rsidR="00ED6F54" w:rsidRPr="00DE2929" w:rsidTr="00ED6F54">
        <w:trPr>
          <w:gridAfter w:val="1"/>
          <w:wAfter w:w="5386" w:type="dxa"/>
          <w:trHeight w:val="315"/>
        </w:trPr>
        <w:tc>
          <w:tcPr>
            <w:tcW w:w="660" w:type="dxa"/>
            <w:tcBorders>
              <w:top w:val="nil"/>
              <w:left w:val="single" w:sz="4" w:space="0" w:color="auto"/>
              <w:bottom w:val="single" w:sz="4" w:space="0" w:color="auto"/>
              <w:right w:val="single" w:sz="4" w:space="0" w:color="auto"/>
            </w:tcBorders>
            <w:shd w:val="clear" w:color="auto" w:fill="auto"/>
            <w:vAlign w:val="bottom"/>
          </w:tcPr>
          <w:p w:rsidR="00ED6F54" w:rsidRPr="00DE2929" w:rsidRDefault="00ED6F54" w:rsidP="001B2F9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3134" w:type="dxa"/>
            <w:tcBorders>
              <w:top w:val="nil"/>
              <w:left w:val="nil"/>
              <w:bottom w:val="single" w:sz="4" w:space="0" w:color="auto"/>
              <w:right w:val="single" w:sz="4" w:space="0" w:color="auto"/>
            </w:tcBorders>
            <w:shd w:val="clear" w:color="auto" w:fill="auto"/>
            <w:vAlign w:val="center"/>
          </w:tcPr>
          <w:p w:rsidR="00ED6F54" w:rsidRPr="00DE2929" w:rsidRDefault="00ED6F54" w:rsidP="001B2F97">
            <w:pPr>
              <w:spacing w:after="0" w:line="240" w:lineRule="auto"/>
              <w:rPr>
                <w:rFonts w:ascii="Times New Roman" w:eastAsia="Times New Roman" w:hAnsi="Times New Roman" w:cs="Times New Roman"/>
                <w:sz w:val="24"/>
                <w:szCs w:val="24"/>
                <w:lang w:eastAsia="ru-RU"/>
              </w:rPr>
            </w:pPr>
            <w:r w:rsidRPr="00713FB3">
              <w:rPr>
                <w:rFonts w:ascii="Times New Roman" w:hAnsi="Times New Roman" w:cs="Times New Roman"/>
                <w:sz w:val="24"/>
                <w:szCs w:val="24"/>
              </w:rPr>
              <w:t>АО «Теле2-Санкт-Петербург»</w:t>
            </w:r>
          </w:p>
        </w:tc>
        <w:tc>
          <w:tcPr>
            <w:tcW w:w="5812" w:type="dxa"/>
            <w:tcBorders>
              <w:top w:val="nil"/>
              <w:left w:val="nil"/>
              <w:bottom w:val="single" w:sz="4" w:space="0" w:color="auto"/>
              <w:right w:val="single" w:sz="4" w:space="0" w:color="auto"/>
            </w:tcBorders>
            <w:shd w:val="clear" w:color="auto" w:fill="auto"/>
            <w:vAlign w:val="center"/>
          </w:tcPr>
          <w:p w:rsidR="00ED6F54" w:rsidRPr="00DE2929" w:rsidRDefault="00ED6F54" w:rsidP="001B2F97">
            <w:pPr>
              <w:spacing w:after="0" w:line="240" w:lineRule="auto"/>
              <w:rPr>
                <w:rFonts w:ascii="Times New Roman" w:eastAsia="Times New Roman" w:hAnsi="Times New Roman" w:cs="Times New Roman"/>
                <w:sz w:val="24"/>
                <w:szCs w:val="24"/>
                <w:lang w:eastAsia="ru-RU"/>
              </w:rPr>
            </w:pPr>
            <w:r w:rsidRPr="00577221">
              <w:rPr>
                <w:rFonts w:ascii="Times New Roman" w:eastAsia="Times New Roman" w:hAnsi="Times New Roman" w:cs="Times New Roman"/>
                <w:sz w:val="24"/>
                <w:szCs w:val="24"/>
                <w:lang w:eastAsia="ru-RU"/>
              </w:rPr>
              <w:t xml:space="preserve">197374, </w:t>
            </w:r>
            <w:proofErr w:type="spellStart"/>
            <w:r w:rsidRPr="00577221">
              <w:rPr>
                <w:rFonts w:ascii="Times New Roman" w:eastAsia="Times New Roman" w:hAnsi="Times New Roman" w:cs="Times New Roman"/>
                <w:sz w:val="24"/>
                <w:szCs w:val="24"/>
                <w:lang w:eastAsia="ru-RU"/>
              </w:rPr>
              <w:t>г.Санкт</w:t>
            </w:r>
            <w:proofErr w:type="spellEnd"/>
            <w:r w:rsidRPr="00577221">
              <w:rPr>
                <w:rFonts w:ascii="Times New Roman" w:eastAsia="Times New Roman" w:hAnsi="Times New Roman" w:cs="Times New Roman"/>
                <w:sz w:val="24"/>
                <w:szCs w:val="24"/>
                <w:lang w:eastAsia="ru-RU"/>
              </w:rPr>
              <w:t>-Петербург, ул. Торфяная дорога, д. 7</w:t>
            </w:r>
          </w:p>
        </w:tc>
      </w:tr>
      <w:tr w:rsidR="00ED6F54" w:rsidRPr="00DE2929" w:rsidTr="00ED6F54">
        <w:trPr>
          <w:gridAfter w:val="1"/>
          <w:wAfter w:w="5386" w:type="dxa"/>
          <w:trHeight w:val="315"/>
        </w:trPr>
        <w:tc>
          <w:tcPr>
            <w:tcW w:w="660" w:type="dxa"/>
            <w:tcBorders>
              <w:top w:val="nil"/>
              <w:left w:val="single" w:sz="4" w:space="0" w:color="auto"/>
              <w:bottom w:val="single" w:sz="4" w:space="0" w:color="auto"/>
              <w:right w:val="single" w:sz="4" w:space="0" w:color="auto"/>
            </w:tcBorders>
            <w:shd w:val="clear" w:color="auto" w:fill="auto"/>
            <w:vAlign w:val="bottom"/>
          </w:tcPr>
          <w:p w:rsidR="00ED6F54" w:rsidRPr="00DE2929" w:rsidRDefault="00ED6F54" w:rsidP="001B2F9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3134" w:type="dxa"/>
            <w:tcBorders>
              <w:top w:val="nil"/>
              <w:left w:val="nil"/>
              <w:bottom w:val="single" w:sz="4" w:space="0" w:color="auto"/>
              <w:right w:val="single" w:sz="4" w:space="0" w:color="auto"/>
            </w:tcBorders>
            <w:shd w:val="clear" w:color="auto" w:fill="auto"/>
            <w:vAlign w:val="center"/>
          </w:tcPr>
          <w:p w:rsidR="00ED6F54" w:rsidRPr="00DE2929" w:rsidRDefault="00ED6F54" w:rsidP="001B2F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ООО «Т2 </w:t>
            </w:r>
            <w:proofErr w:type="spellStart"/>
            <w:r>
              <w:rPr>
                <w:rFonts w:ascii="Times New Roman" w:eastAsia="Times New Roman" w:hAnsi="Times New Roman" w:cs="Times New Roman"/>
                <w:color w:val="000000"/>
                <w:sz w:val="24"/>
                <w:szCs w:val="24"/>
                <w:lang w:eastAsia="ru-RU"/>
              </w:rPr>
              <w:t>Мобайл</w:t>
            </w:r>
            <w:proofErr w:type="spellEnd"/>
            <w:r>
              <w:rPr>
                <w:rFonts w:ascii="Times New Roman" w:eastAsia="Times New Roman" w:hAnsi="Times New Roman" w:cs="Times New Roman"/>
                <w:color w:val="000000"/>
                <w:sz w:val="24"/>
                <w:szCs w:val="24"/>
                <w:lang w:eastAsia="ru-RU"/>
              </w:rPr>
              <w:t>»</w:t>
            </w:r>
          </w:p>
        </w:tc>
        <w:tc>
          <w:tcPr>
            <w:tcW w:w="5812" w:type="dxa"/>
            <w:tcBorders>
              <w:top w:val="nil"/>
              <w:left w:val="nil"/>
              <w:bottom w:val="single" w:sz="4" w:space="0" w:color="auto"/>
              <w:right w:val="single" w:sz="4" w:space="0" w:color="auto"/>
            </w:tcBorders>
            <w:shd w:val="clear" w:color="auto" w:fill="auto"/>
            <w:vAlign w:val="center"/>
          </w:tcPr>
          <w:p w:rsidR="00ED6F54" w:rsidRPr="00577221" w:rsidRDefault="00746845" w:rsidP="00746845">
            <w:pPr>
              <w:spacing w:after="0" w:line="240" w:lineRule="auto"/>
              <w:rPr>
                <w:rFonts w:ascii="Times New Roman" w:eastAsia="Times New Roman" w:hAnsi="Times New Roman" w:cs="Times New Roman"/>
                <w:sz w:val="24"/>
                <w:szCs w:val="24"/>
                <w:lang w:eastAsia="ru-RU"/>
              </w:rPr>
            </w:pPr>
            <w:r w:rsidRPr="00746845">
              <w:rPr>
                <w:rFonts w:ascii="Times New Roman" w:eastAsia="Times New Roman" w:hAnsi="Times New Roman" w:cs="Times New Roman"/>
                <w:sz w:val="24"/>
                <w:szCs w:val="24"/>
                <w:lang w:eastAsia="ru-RU"/>
              </w:rPr>
              <w:t xml:space="preserve">108811, город Москва, </w:t>
            </w:r>
            <w:r>
              <w:rPr>
                <w:rFonts w:ascii="Times New Roman" w:eastAsia="Times New Roman" w:hAnsi="Times New Roman" w:cs="Times New Roman"/>
                <w:sz w:val="24"/>
                <w:szCs w:val="24"/>
                <w:lang w:eastAsia="ru-RU"/>
              </w:rPr>
              <w:t>22- й километр Киевского</w:t>
            </w:r>
            <w:r w:rsidRPr="00746845">
              <w:rPr>
                <w:rFonts w:ascii="Times New Roman" w:eastAsia="Times New Roman" w:hAnsi="Times New Roman" w:cs="Times New Roman"/>
                <w:sz w:val="24"/>
                <w:szCs w:val="24"/>
                <w:lang w:eastAsia="ru-RU"/>
              </w:rPr>
              <w:t xml:space="preserve"> шоссе (п Московский), домовладение 6 строение 1, этаж 5 комната 33</w:t>
            </w:r>
          </w:p>
        </w:tc>
      </w:tr>
    </w:tbl>
    <w:p w:rsidR="00BB1884" w:rsidRDefault="00BB1884" w:rsidP="00150D5B">
      <w:pPr>
        <w:spacing w:after="0"/>
        <w:jc w:val="both"/>
        <w:rPr>
          <w:rFonts w:ascii="Times New Roman" w:hAnsi="Times New Roman" w:cs="Times New Roman"/>
          <w:sz w:val="28"/>
          <w:szCs w:val="28"/>
        </w:rPr>
      </w:pPr>
    </w:p>
    <w:p w:rsidR="00150D5B" w:rsidRDefault="00150D5B" w:rsidP="00150D5B">
      <w:pPr>
        <w:spacing w:after="0"/>
        <w:jc w:val="both"/>
        <w:rPr>
          <w:rFonts w:ascii="Times New Roman" w:hAnsi="Times New Roman" w:cs="Times New Roman"/>
          <w:sz w:val="28"/>
          <w:szCs w:val="28"/>
        </w:rPr>
      </w:pPr>
      <w:r>
        <w:rPr>
          <w:rFonts w:ascii="Times New Roman" w:hAnsi="Times New Roman" w:cs="Times New Roman"/>
          <w:sz w:val="28"/>
          <w:szCs w:val="28"/>
        </w:rPr>
        <w:tab/>
        <w:t>На к</w:t>
      </w:r>
      <w:r w:rsidR="00746845">
        <w:rPr>
          <w:rFonts w:ascii="Times New Roman" w:hAnsi="Times New Roman" w:cs="Times New Roman"/>
          <w:sz w:val="28"/>
          <w:szCs w:val="28"/>
        </w:rPr>
        <w:t>онец 2019</w:t>
      </w:r>
      <w:r w:rsidR="00D31594">
        <w:rPr>
          <w:rFonts w:ascii="Times New Roman" w:hAnsi="Times New Roman" w:cs="Times New Roman"/>
          <w:sz w:val="28"/>
          <w:szCs w:val="28"/>
        </w:rPr>
        <w:t xml:space="preserve"> года на территории Российской Фед</w:t>
      </w:r>
      <w:r>
        <w:rPr>
          <w:rFonts w:ascii="Times New Roman" w:hAnsi="Times New Roman" w:cs="Times New Roman"/>
          <w:sz w:val="28"/>
          <w:szCs w:val="28"/>
        </w:rPr>
        <w:t>е</w:t>
      </w:r>
      <w:r w:rsidR="00D31594">
        <w:rPr>
          <w:rFonts w:ascii="Times New Roman" w:hAnsi="Times New Roman" w:cs="Times New Roman"/>
          <w:sz w:val="28"/>
          <w:szCs w:val="28"/>
        </w:rPr>
        <w:t>рации действуют следующие операторы подвижной радиотелефонной связи в составе групп лиц:</w:t>
      </w:r>
    </w:p>
    <w:p w:rsidR="00150D5B" w:rsidRDefault="00150D5B" w:rsidP="00150D5B">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D31594">
        <w:rPr>
          <w:rFonts w:ascii="Times New Roman" w:hAnsi="Times New Roman" w:cs="Times New Roman"/>
          <w:sz w:val="28"/>
          <w:szCs w:val="28"/>
        </w:rPr>
        <w:t>ПАО «МТС» в одной группе лиц с ПАО «МГТС»;</w:t>
      </w:r>
    </w:p>
    <w:p w:rsidR="00D31594" w:rsidRDefault="00152008" w:rsidP="00150D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B2F97">
        <w:rPr>
          <w:rFonts w:ascii="Times New Roman" w:hAnsi="Times New Roman" w:cs="Times New Roman"/>
          <w:sz w:val="28"/>
          <w:szCs w:val="28"/>
        </w:rPr>
        <w:t>ПАО «МегаФон» в одной группе лиц с</w:t>
      </w:r>
      <w:r w:rsidR="00D31594">
        <w:rPr>
          <w:rFonts w:ascii="Times New Roman" w:hAnsi="Times New Roman" w:cs="Times New Roman"/>
          <w:sz w:val="28"/>
          <w:szCs w:val="28"/>
        </w:rPr>
        <w:t xml:space="preserve"> ООО «</w:t>
      </w:r>
      <w:proofErr w:type="spellStart"/>
      <w:r w:rsidR="00D31594">
        <w:rPr>
          <w:rFonts w:ascii="Times New Roman" w:hAnsi="Times New Roman" w:cs="Times New Roman"/>
          <w:sz w:val="28"/>
          <w:szCs w:val="28"/>
        </w:rPr>
        <w:t>Скартел</w:t>
      </w:r>
      <w:proofErr w:type="spellEnd"/>
      <w:r w:rsidR="00D31594">
        <w:rPr>
          <w:rFonts w:ascii="Times New Roman" w:hAnsi="Times New Roman" w:cs="Times New Roman"/>
          <w:sz w:val="28"/>
          <w:szCs w:val="28"/>
        </w:rPr>
        <w:t>»;</w:t>
      </w:r>
    </w:p>
    <w:p w:rsidR="00D31594" w:rsidRPr="009F619B" w:rsidRDefault="00D31594" w:rsidP="00150D5B">
      <w:pPr>
        <w:spacing w:after="0"/>
        <w:jc w:val="both"/>
        <w:rPr>
          <w:rFonts w:ascii="Times New Roman" w:hAnsi="Times New Roman" w:cs="Times New Roman"/>
          <w:sz w:val="28"/>
          <w:szCs w:val="28"/>
        </w:rPr>
      </w:pPr>
      <w:r>
        <w:rPr>
          <w:rFonts w:ascii="Times New Roman" w:hAnsi="Times New Roman" w:cs="Times New Roman"/>
          <w:sz w:val="28"/>
          <w:szCs w:val="28"/>
        </w:rPr>
        <w:tab/>
        <w:t>-</w:t>
      </w:r>
      <w:r w:rsidR="00152008" w:rsidRPr="00152008">
        <w:rPr>
          <w:rFonts w:ascii="Times New Roman" w:hAnsi="Times New Roman" w:cs="Times New Roman"/>
          <w:sz w:val="28"/>
          <w:szCs w:val="28"/>
        </w:rPr>
        <w:t xml:space="preserve"> </w:t>
      </w:r>
      <w:r>
        <w:rPr>
          <w:rFonts w:ascii="Times New Roman" w:hAnsi="Times New Roman" w:cs="Times New Roman"/>
          <w:sz w:val="28"/>
          <w:szCs w:val="28"/>
        </w:rPr>
        <w:t>ООО «Т2</w:t>
      </w:r>
      <w:r w:rsidR="00157C63">
        <w:rPr>
          <w:rFonts w:ascii="Times New Roman" w:hAnsi="Times New Roman" w:cs="Times New Roman"/>
          <w:sz w:val="28"/>
          <w:szCs w:val="28"/>
        </w:rPr>
        <w:t xml:space="preserve"> </w:t>
      </w:r>
      <w:proofErr w:type="spellStart"/>
      <w:r w:rsidR="00157C63">
        <w:rPr>
          <w:rFonts w:ascii="Times New Roman" w:hAnsi="Times New Roman" w:cs="Times New Roman"/>
          <w:sz w:val="28"/>
          <w:szCs w:val="28"/>
        </w:rPr>
        <w:t>Мобайл</w:t>
      </w:r>
      <w:proofErr w:type="spellEnd"/>
      <w:r w:rsidR="00157C63">
        <w:rPr>
          <w:rFonts w:ascii="Times New Roman" w:hAnsi="Times New Roman" w:cs="Times New Roman"/>
          <w:sz w:val="28"/>
          <w:szCs w:val="28"/>
        </w:rPr>
        <w:t xml:space="preserve">» (группа лиц в составе АО «Теле2-Санкт-Петербург», </w:t>
      </w:r>
      <w:r>
        <w:rPr>
          <w:rFonts w:ascii="Times New Roman" w:hAnsi="Times New Roman" w:cs="Times New Roman"/>
          <w:sz w:val="28"/>
          <w:szCs w:val="28"/>
        </w:rPr>
        <w:t>АО «АКОС»</w:t>
      </w:r>
      <w:r w:rsidR="00157C63">
        <w:rPr>
          <w:rFonts w:ascii="Times New Roman" w:hAnsi="Times New Roman" w:cs="Times New Roman"/>
          <w:sz w:val="28"/>
          <w:szCs w:val="28"/>
        </w:rPr>
        <w:t>, АО «АПЕКС»</w:t>
      </w:r>
      <w:r>
        <w:rPr>
          <w:rFonts w:ascii="Times New Roman" w:hAnsi="Times New Roman" w:cs="Times New Roman"/>
          <w:sz w:val="28"/>
          <w:szCs w:val="28"/>
        </w:rPr>
        <w:t xml:space="preserve">). </w:t>
      </w:r>
    </w:p>
    <w:p w:rsidR="00706C0E" w:rsidRDefault="00706C0E" w:rsidP="00150D5B">
      <w:pPr>
        <w:spacing w:after="0"/>
      </w:pPr>
    </w:p>
    <w:p w:rsidR="00D31594" w:rsidRDefault="00D31594" w:rsidP="00150D5B">
      <w:pPr>
        <w:spacing w:after="0" w:line="240" w:lineRule="auto"/>
        <w:ind w:firstLine="900"/>
        <w:jc w:val="both"/>
        <w:rPr>
          <w:rFonts w:ascii="Times New Roman" w:hAnsi="Times New Roman" w:cs="Times New Roman"/>
          <w:b/>
          <w:sz w:val="28"/>
          <w:szCs w:val="28"/>
        </w:rPr>
      </w:pPr>
      <w:r w:rsidRPr="0041496F">
        <w:rPr>
          <w:rFonts w:ascii="Times New Roman" w:hAnsi="Times New Roman" w:cs="Times New Roman"/>
          <w:b/>
          <w:sz w:val="28"/>
          <w:szCs w:val="28"/>
        </w:rPr>
        <w:t xml:space="preserve">5. Определение объема товарных ресурсов рынка и долей хозяйствующих </w:t>
      </w:r>
      <w:r w:rsidR="00150D5B">
        <w:rPr>
          <w:rFonts w:ascii="Times New Roman" w:hAnsi="Times New Roman" w:cs="Times New Roman"/>
          <w:b/>
          <w:sz w:val="28"/>
          <w:szCs w:val="28"/>
        </w:rPr>
        <w:t>субъектов на рынке</w:t>
      </w:r>
    </w:p>
    <w:p w:rsidR="00D31594" w:rsidRDefault="00D31594" w:rsidP="00D31594">
      <w:pPr>
        <w:spacing w:after="0" w:line="240" w:lineRule="auto"/>
        <w:ind w:firstLine="720"/>
        <w:jc w:val="both"/>
        <w:rPr>
          <w:rFonts w:ascii="Times New Roman" w:hAnsi="Times New Roman" w:cs="Times New Roman"/>
          <w:sz w:val="28"/>
          <w:szCs w:val="28"/>
        </w:rPr>
      </w:pPr>
      <w:r w:rsidRPr="004423F3">
        <w:rPr>
          <w:rFonts w:ascii="Times New Roman" w:hAnsi="Times New Roman" w:cs="Times New Roman"/>
          <w:sz w:val="28"/>
          <w:szCs w:val="28"/>
        </w:rPr>
        <w:t xml:space="preserve">Расчет объема товарного рынка и долей хозяйствующих субъектов на рынке услуг </w:t>
      </w:r>
      <w:r>
        <w:rPr>
          <w:rFonts w:ascii="Times New Roman" w:hAnsi="Times New Roman" w:cs="Times New Roman"/>
          <w:sz w:val="28"/>
          <w:szCs w:val="28"/>
        </w:rPr>
        <w:t>подвижной радиотелефонной связи</w:t>
      </w:r>
      <w:r w:rsidRPr="004423F3">
        <w:rPr>
          <w:rFonts w:ascii="Times New Roman" w:hAnsi="Times New Roman" w:cs="Times New Roman"/>
          <w:sz w:val="28"/>
          <w:szCs w:val="28"/>
        </w:rPr>
        <w:t xml:space="preserve"> осущес</w:t>
      </w:r>
      <w:r>
        <w:rPr>
          <w:rFonts w:ascii="Times New Roman" w:hAnsi="Times New Roman" w:cs="Times New Roman"/>
          <w:sz w:val="28"/>
          <w:szCs w:val="28"/>
        </w:rPr>
        <w:t>твляется на основании показателей</w:t>
      </w:r>
      <w:r w:rsidRPr="004423F3">
        <w:rPr>
          <w:rFonts w:ascii="Times New Roman" w:hAnsi="Times New Roman" w:cs="Times New Roman"/>
          <w:sz w:val="28"/>
          <w:szCs w:val="28"/>
        </w:rPr>
        <w:t xml:space="preserve"> товарного рынка</w:t>
      </w:r>
      <w:r>
        <w:rPr>
          <w:rFonts w:ascii="Times New Roman" w:hAnsi="Times New Roman" w:cs="Times New Roman"/>
          <w:sz w:val="28"/>
          <w:szCs w:val="28"/>
        </w:rPr>
        <w:t>:</w:t>
      </w:r>
    </w:p>
    <w:p w:rsidR="00D31594" w:rsidRPr="001318AA" w:rsidRDefault="00D31594" w:rsidP="00D31594">
      <w:pPr>
        <w:pStyle w:val="a5"/>
        <w:numPr>
          <w:ilvl w:val="0"/>
          <w:numId w:val="1"/>
        </w:numPr>
        <w:spacing w:after="0" w:line="240" w:lineRule="auto"/>
        <w:jc w:val="both"/>
        <w:rPr>
          <w:rFonts w:ascii="Times New Roman" w:hAnsi="Times New Roman" w:cs="Times New Roman"/>
          <w:sz w:val="28"/>
          <w:szCs w:val="28"/>
        </w:rPr>
      </w:pPr>
      <w:r w:rsidRPr="001318AA">
        <w:rPr>
          <w:rFonts w:ascii="Times New Roman" w:hAnsi="Times New Roman" w:cs="Times New Roman"/>
          <w:sz w:val="28"/>
          <w:szCs w:val="28"/>
        </w:rPr>
        <w:t>дохода от услуг подвижной радиотелефонной связи в сети связи общего пользования (тыс. руб.).</w:t>
      </w:r>
    </w:p>
    <w:p w:rsidR="00D31594" w:rsidRPr="001318AA" w:rsidRDefault="00D31594" w:rsidP="00D31594">
      <w:pPr>
        <w:pStyle w:val="a5"/>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объема услуг подвижной радиотелефонной связи в сети связи общего пользования (голосовые услуги связи (тыс./мин.), смс (тыс./шт.), передача данных (</w:t>
      </w:r>
      <w:r w:rsidRPr="000F12FE">
        <w:rPr>
          <w:rFonts w:ascii="Times New Roman" w:hAnsi="Times New Roman" w:cs="Times New Roman"/>
          <w:sz w:val="28"/>
          <w:szCs w:val="28"/>
        </w:rPr>
        <w:t>тыс./Гб</w:t>
      </w:r>
      <w:r>
        <w:rPr>
          <w:rFonts w:ascii="Times New Roman" w:hAnsi="Times New Roman" w:cs="Times New Roman"/>
          <w:sz w:val="28"/>
          <w:szCs w:val="28"/>
        </w:rPr>
        <w:t>).</w:t>
      </w:r>
    </w:p>
    <w:p w:rsidR="00D31594" w:rsidRDefault="00905F65" w:rsidP="00526A2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анализе данных о доходах</w:t>
      </w:r>
      <w:r w:rsidR="00D31594">
        <w:rPr>
          <w:rFonts w:ascii="Times New Roman" w:hAnsi="Times New Roman" w:cs="Times New Roman"/>
          <w:sz w:val="28"/>
          <w:szCs w:val="28"/>
        </w:rPr>
        <w:t xml:space="preserve"> и объемах от услуг подвижной радиотелефонной связи в сети связи общего пользования использовались данные, представленные продавцами в соответствии с формой федерального </w:t>
      </w:r>
      <w:r w:rsidR="00D31594">
        <w:rPr>
          <w:rFonts w:ascii="Times New Roman" w:hAnsi="Times New Roman" w:cs="Times New Roman"/>
          <w:sz w:val="28"/>
          <w:szCs w:val="28"/>
        </w:rPr>
        <w:lastRenderedPageBreak/>
        <w:t>статистического наблюдения № 65-связь «Сведения о доходах от услуг связи»</w:t>
      </w:r>
      <w:r w:rsidR="00251256">
        <w:rPr>
          <w:rFonts w:ascii="Times New Roman" w:hAnsi="Times New Roman" w:cs="Times New Roman"/>
          <w:sz w:val="28"/>
          <w:szCs w:val="28"/>
        </w:rPr>
        <w:t>, № 54 «Сведения о сетях подвижной связи»</w:t>
      </w:r>
      <w:r w:rsidR="00D31594">
        <w:rPr>
          <w:rFonts w:ascii="Times New Roman" w:hAnsi="Times New Roman" w:cs="Times New Roman"/>
          <w:sz w:val="28"/>
          <w:szCs w:val="28"/>
        </w:rPr>
        <w:t>, утвержденной приказом Росстата от 12.03.2015 № 95,</w:t>
      </w:r>
      <w:r w:rsidR="00157C63">
        <w:rPr>
          <w:rFonts w:ascii="Times New Roman" w:hAnsi="Times New Roman" w:cs="Times New Roman"/>
          <w:sz w:val="28"/>
          <w:szCs w:val="28"/>
        </w:rPr>
        <w:t xml:space="preserve"> </w:t>
      </w:r>
      <w:r>
        <w:rPr>
          <w:rFonts w:ascii="Times New Roman" w:hAnsi="Times New Roman" w:cs="Times New Roman"/>
          <w:sz w:val="28"/>
          <w:szCs w:val="28"/>
        </w:rPr>
        <w:t xml:space="preserve">формой федерального статистического наблюдения № 4-связь </w:t>
      </w:r>
      <w:r w:rsidR="007B00B2">
        <w:rPr>
          <w:rFonts w:ascii="Times New Roman" w:hAnsi="Times New Roman" w:cs="Times New Roman"/>
          <w:sz w:val="28"/>
          <w:szCs w:val="28"/>
        </w:rPr>
        <w:t>«</w:t>
      </w:r>
      <w:r>
        <w:rPr>
          <w:rFonts w:ascii="Times New Roman" w:hAnsi="Times New Roman" w:cs="Times New Roman"/>
          <w:sz w:val="28"/>
          <w:szCs w:val="28"/>
        </w:rPr>
        <w:t xml:space="preserve">Сведения об обмене </w:t>
      </w:r>
      <w:r w:rsidR="007B00B2">
        <w:rPr>
          <w:rFonts w:ascii="Times New Roman" w:hAnsi="Times New Roman" w:cs="Times New Roman"/>
          <w:sz w:val="28"/>
          <w:szCs w:val="28"/>
        </w:rPr>
        <w:t>(трафике) на сетях электросвязи», утвержденной приказом Росстата от 23.12.2015 № 645</w:t>
      </w:r>
      <w:r w:rsidR="00526A25">
        <w:rPr>
          <w:rFonts w:ascii="Times New Roman" w:hAnsi="Times New Roman" w:cs="Times New Roman"/>
          <w:sz w:val="28"/>
          <w:szCs w:val="28"/>
        </w:rPr>
        <w:t>,</w:t>
      </w:r>
      <w:r w:rsidR="00D31594">
        <w:rPr>
          <w:rFonts w:ascii="Times New Roman" w:hAnsi="Times New Roman" w:cs="Times New Roman"/>
          <w:sz w:val="28"/>
          <w:szCs w:val="28"/>
        </w:rPr>
        <w:t xml:space="preserve"> а также данные внутреннего учета, представленные продавцами с грифом «коммерческая тайна»</w:t>
      </w:r>
      <w:r w:rsidR="00D31594" w:rsidRPr="004423F3">
        <w:rPr>
          <w:rFonts w:ascii="Times New Roman" w:hAnsi="Times New Roman" w:cs="Times New Roman"/>
          <w:sz w:val="28"/>
          <w:szCs w:val="28"/>
        </w:rPr>
        <w:t>.</w:t>
      </w:r>
    </w:p>
    <w:p w:rsidR="00D31594" w:rsidRDefault="00D31594" w:rsidP="00D3159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состав дохода от услуг подвижной радиотелефонной связи в сети связи общего </w:t>
      </w:r>
      <w:r w:rsidR="00054A73">
        <w:rPr>
          <w:rFonts w:ascii="Times New Roman" w:hAnsi="Times New Roman" w:cs="Times New Roman"/>
          <w:sz w:val="28"/>
          <w:szCs w:val="28"/>
        </w:rPr>
        <w:t>пользования входит, в том числе</w:t>
      </w:r>
      <w:r>
        <w:rPr>
          <w:rFonts w:ascii="Times New Roman" w:hAnsi="Times New Roman" w:cs="Times New Roman"/>
          <w:sz w:val="28"/>
          <w:szCs w:val="28"/>
        </w:rPr>
        <w:t xml:space="preserve"> доход от:</w:t>
      </w:r>
    </w:p>
    <w:p w:rsidR="00D31594" w:rsidRDefault="00D31594" w:rsidP="00D3159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абонентской платы </w:t>
      </w:r>
      <w:r w:rsidR="00E826A2" w:rsidRPr="000F12FE">
        <w:rPr>
          <w:rFonts w:ascii="Times New Roman" w:hAnsi="Times New Roman" w:cs="Times New Roman"/>
          <w:sz w:val="28"/>
          <w:szCs w:val="28"/>
        </w:rPr>
        <w:t>(постоянная плата</w:t>
      </w:r>
      <w:r w:rsidR="00AB64C6" w:rsidRPr="000F12FE">
        <w:rPr>
          <w:rFonts w:ascii="Times New Roman" w:hAnsi="Times New Roman" w:cs="Times New Roman"/>
          <w:sz w:val="28"/>
          <w:szCs w:val="28"/>
        </w:rPr>
        <w:t>, которая не зависит от объема оказанных услуг)</w:t>
      </w:r>
      <w:r w:rsidR="00AB64C6">
        <w:rPr>
          <w:rFonts w:ascii="Times New Roman" w:hAnsi="Times New Roman" w:cs="Times New Roman"/>
          <w:sz w:val="28"/>
          <w:szCs w:val="28"/>
        </w:rPr>
        <w:t>;</w:t>
      </w:r>
    </w:p>
    <w:p w:rsidR="00D31594" w:rsidRDefault="00D31594" w:rsidP="00D3159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голосовых соединений (от</w:t>
      </w:r>
      <w:r w:rsidR="002C0378" w:rsidRPr="002C0378">
        <w:rPr>
          <w:rFonts w:ascii="Times New Roman" w:hAnsi="Times New Roman" w:cs="Times New Roman"/>
          <w:sz w:val="28"/>
          <w:szCs w:val="28"/>
        </w:rPr>
        <w:t xml:space="preserve"> </w:t>
      </w:r>
      <w:r w:rsidR="002C0378">
        <w:rPr>
          <w:rFonts w:ascii="Times New Roman" w:hAnsi="Times New Roman" w:cs="Times New Roman"/>
          <w:sz w:val="28"/>
          <w:szCs w:val="28"/>
        </w:rPr>
        <w:t>входящих и</w:t>
      </w:r>
      <w:r>
        <w:rPr>
          <w:rFonts w:ascii="Times New Roman" w:hAnsi="Times New Roman" w:cs="Times New Roman"/>
          <w:sz w:val="28"/>
          <w:szCs w:val="28"/>
        </w:rPr>
        <w:t xml:space="preserve"> исходящих платных вызовов: на номера абонентов оператора (внутри сети) на территории Российской Федерации, на номера абонентов других операторов подвижной радиотелефонной связи и операторов фиксированной телефонной связи на территории Российской Федерации);</w:t>
      </w:r>
    </w:p>
    <w:p w:rsidR="00D31594" w:rsidRDefault="00D31594" w:rsidP="00D3159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международного роуминга (от входящих</w:t>
      </w:r>
      <w:r w:rsidR="00054A73">
        <w:rPr>
          <w:rFonts w:ascii="Times New Roman" w:hAnsi="Times New Roman" w:cs="Times New Roman"/>
          <w:sz w:val="28"/>
          <w:szCs w:val="28"/>
        </w:rPr>
        <w:t xml:space="preserve"> и исходящих</w:t>
      </w:r>
      <w:r>
        <w:rPr>
          <w:rFonts w:ascii="Times New Roman" w:hAnsi="Times New Roman" w:cs="Times New Roman"/>
          <w:sz w:val="28"/>
          <w:szCs w:val="28"/>
        </w:rPr>
        <w:t xml:space="preserve"> платных вызовов абонентов, находящихся за пределами Российской Федерации);</w:t>
      </w:r>
    </w:p>
    <w:p w:rsidR="00D31594" w:rsidRDefault="00D31594" w:rsidP="00D3159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отправки СМС-сообщений;</w:t>
      </w:r>
    </w:p>
    <w:p w:rsidR="00D31594" w:rsidRDefault="00D31594" w:rsidP="00D3159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VAS</w:t>
      </w:r>
      <w:r>
        <w:rPr>
          <w:rFonts w:ascii="Times New Roman" w:hAnsi="Times New Roman" w:cs="Times New Roman"/>
          <w:sz w:val="28"/>
          <w:szCs w:val="28"/>
        </w:rPr>
        <w:t>-сервисов (в том числе от контентных и информационных услуг);</w:t>
      </w:r>
    </w:p>
    <w:p w:rsidR="00D31594" w:rsidRDefault="00D31594" w:rsidP="00D3159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услуги доступа к сети Интернет через сети подвижной радиотелефонной связи.</w:t>
      </w:r>
    </w:p>
    <w:p w:rsidR="00D31594" w:rsidRDefault="00D31594"/>
    <w:p w:rsidR="00D31594" w:rsidRPr="000B4BC2" w:rsidRDefault="00D31594" w:rsidP="00D31594">
      <w:pPr>
        <w:spacing w:after="0" w:line="240" w:lineRule="auto"/>
        <w:ind w:firstLine="900"/>
        <w:jc w:val="both"/>
        <w:rPr>
          <w:rFonts w:ascii="Times New Roman" w:hAnsi="Times New Roman" w:cs="Times New Roman"/>
          <w:b/>
          <w:sz w:val="28"/>
          <w:szCs w:val="28"/>
        </w:rPr>
      </w:pPr>
      <w:r w:rsidRPr="0041496F">
        <w:rPr>
          <w:rFonts w:ascii="Times New Roman" w:hAnsi="Times New Roman" w:cs="Times New Roman"/>
          <w:b/>
          <w:sz w:val="28"/>
          <w:szCs w:val="28"/>
        </w:rPr>
        <w:t>5.</w:t>
      </w:r>
      <w:r>
        <w:rPr>
          <w:rFonts w:ascii="Times New Roman" w:hAnsi="Times New Roman" w:cs="Times New Roman"/>
          <w:b/>
          <w:sz w:val="28"/>
          <w:szCs w:val="28"/>
        </w:rPr>
        <w:t xml:space="preserve">1. Определение </w:t>
      </w:r>
      <w:r w:rsidRPr="0041496F">
        <w:rPr>
          <w:rFonts w:ascii="Times New Roman" w:hAnsi="Times New Roman" w:cs="Times New Roman"/>
          <w:b/>
          <w:sz w:val="28"/>
          <w:szCs w:val="28"/>
        </w:rPr>
        <w:t>долей х</w:t>
      </w:r>
      <w:r>
        <w:rPr>
          <w:rFonts w:ascii="Times New Roman" w:hAnsi="Times New Roman" w:cs="Times New Roman"/>
          <w:b/>
          <w:sz w:val="28"/>
          <w:szCs w:val="28"/>
        </w:rPr>
        <w:t>озяйствующих субъектов на рынке услуг подвижной телефонной радиосвязи по объемам оказанных услуг.</w:t>
      </w:r>
    </w:p>
    <w:p w:rsidR="00D31594" w:rsidRDefault="00D31594" w:rsidP="00D31594"/>
    <w:p w:rsidR="00D31594" w:rsidRDefault="00D31594" w:rsidP="00D31594">
      <w:r>
        <w:rPr>
          <w:rFonts w:ascii="Times New Roman" w:hAnsi="Times New Roman" w:cs="Times New Roman"/>
          <w:noProof/>
          <w:sz w:val="28"/>
          <w:szCs w:val="28"/>
          <w:lang w:eastAsia="ru-RU"/>
        </w:rPr>
        <w:drawing>
          <wp:inline distT="0" distB="0" distL="0" distR="0">
            <wp:extent cx="5486400" cy="3395557"/>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31594" w:rsidRDefault="00D31594" w:rsidP="00D31594"/>
    <w:p w:rsidR="00D31594" w:rsidRDefault="00D31594" w:rsidP="00D31594"/>
    <w:p w:rsidR="00152008" w:rsidRDefault="00D31594" w:rsidP="00D31594">
      <w:r>
        <w:rPr>
          <w:rFonts w:ascii="Times New Roman" w:hAnsi="Times New Roman" w:cs="Times New Roman"/>
          <w:noProof/>
          <w:sz w:val="28"/>
          <w:szCs w:val="28"/>
          <w:lang w:eastAsia="ru-RU"/>
        </w:rPr>
        <w:drawing>
          <wp:inline distT="0" distB="0" distL="0" distR="0">
            <wp:extent cx="5486400" cy="3395557"/>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1594" w:rsidRDefault="00D31594" w:rsidP="00D31594">
      <w:r>
        <w:rPr>
          <w:rFonts w:ascii="Times New Roman" w:hAnsi="Times New Roman" w:cs="Times New Roman"/>
          <w:noProof/>
          <w:sz w:val="28"/>
          <w:szCs w:val="28"/>
          <w:lang w:eastAsia="ru-RU"/>
        </w:rPr>
        <w:drawing>
          <wp:inline distT="0" distB="0" distL="0" distR="0">
            <wp:extent cx="5486400" cy="3395557"/>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31594" w:rsidRDefault="00D31594" w:rsidP="00D31594"/>
    <w:p w:rsidR="00D31594" w:rsidRDefault="00D31594" w:rsidP="00D31594"/>
    <w:p w:rsidR="00D31594" w:rsidRDefault="00D31594" w:rsidP="00D31594"/>
    <w:p w:rsidR="00D31594" w:rsidRDefault="00D31594" w:rsidP="00D31594"/>
    <w:p w:rsidR="00D31594" w:rsidRDefault="00D31594" w:rsidP="00D31594"/>
    <w:p w:rsidR="00D31594" w:rsidRDefault="00D31594" w:rsidP="00D31594"/>
    <w:p w:rsidR="00D31594" w:rsidRDefault="00D31594" w:rsidP="00D31594"/>
    <w:tbl>
      <w:tblPr>
        <w:tblW w:w="14992" w:type="dxa"/>
        <w:tblLayout w:type="fixed"/>
        <w:tblLook w:val="04A0" w:firstRow="1" w:lastRow="0" w:firstColumn="1" w:lastColumn="0" w:noHBand="0" w:noVBand="1"/>
      </w:tblPr>
      <w:tblGrid>
        <w:gridCol w:w="660"/>
        <w:gridCol w:w="3701"/>
        <w:gridCol w:w="1701"/>
        <w:gridCol w:w="1701"/>
        <w:gridCol w:w="1701"/>
        <w:gridCol w:w="1842"/>
        <w:gridCol w:w="1843"/>
        <w:gridCol w:w="1843"/>
      </w:tblGrid>
      <w:tr w:rsidR="00D31594" w:rsidRPr="00DE2929" w:rsidTr="00905F65">
        <w:trPr>
          <w:gridAfter w:val="3"/>
          <w:wAfter w:w="5528" w:type="dxa"/>
          <w:trHeight w:val="630"/>
        </w:trPr>
        <w:tc>
          <w:tcPr>
            <w:tcW w:w="660" w:type="dxa"/>
            <w:vMerge w:val="restart"/>
            <w:tcBorders>
              <w:top w:val="single" w:sz="4" w:space="0" w:color="auto"/>
              <w:left w:val="single" w:sz="4" w:space="0" w:color="auto"/>
              <w:right w:val="single" w:sz="4" w:space="0" w:color="auto"/>
            </w:tcBorders>
            <w:shd w:val="clear" w:color="auto" w:fill="auto"/>
            <w:vAlign w:val="center"/>
            <w:hideMark/>
          </w:tcPr>
          <w:p w:rsidR="00D31594" w:rsidRPr="00DE2929" w:rsidRDefault="00D31594" w:rsidP="00905F65">
            <w:pPr>
              <w:spacing w:after="0" w:line="240" w:lineRule="auto"/>
              <w:jc w:val="center"/>
              <w:rPr>
                <w:rFonts w:ascii="Times New Roman" w:eastAsia="Times New Roman" w:hAnsi="Times New Roman" w:cs="Times New Roman"/>
                <w:sz w:val="24"/>
                <w:szCs w:val="24"/>
                <w:lang w:eastAsia="ru-RU"/>
              </w:rPr>
            </w:pPr>
            <w:r w:rsidRPr="00DE2929">
              <w:rPr>
                <w:rFonts w:ascii="Times New Roman" w:eastAsia="Times New Roman" w:hAnsi="Times New Roman" w:cs="Times New Roman"/>
                <w:sz w:val="24"/>
                <w:szCs w:val="24"/>
                <w:lang w:eastAsia="ru-RU"/>
              </w:rPr>
              <w:t>п/н</w:t>
            </w:r>
          </w:p>
        </w:tc>
        <w:tc>
          <w:tcPr>
            <w:tcW w:w="3701" w:type="dxa"/>
            <w:vMerge w:val="restart"/>
            <w:tcBorders>
              <w:top w:val="single" w:sz="4" w:space="0" w:color="auto"/>
              <w:left w:val="nil"/>
              <w:right w:val="single" w:sz="4" w:space="0" w:color="auto"/>
            </w:tcBorders>
            <w:shd w:val="clear" w:color="auto" w:fill="auto"/>
            <w:vAlign w:val="center"/>
            <w:hideMark/>
          </w:tcPr>
          <w:p w:rsidR="00D31594" w:rsidRPr="00DE2929" w:rsidRDefault="00D31594" w:rsidP="00905F65">
            <w:pPr>
              <w:spacing w:after="0" w:line="240" w:lineRule="auto"/>
              <w:jc w:val="center"/>
              <w:rPr>
                <w:rFonts w:ascii="Times New Roman" w:eastAsia="Times New Roman" w:hAnsi="Times New Roman" w:cs="Times New Roman"/>
                <w:sz w:val="24"/>
                <w:szCs w:val="24"/>
                <w:lang w:eastAsia="ru-RU"/>
              </w:rPr>
            </w:pPr>
            <w:r w:rsidRPr="00DE2929">
              <w:rPr>
                <w:rFonts w:ascii="Times New Roman" w:eastAsia="Times New Roman" w:hAnsi="Times New Roman" w:cs="Times New Roman"/>
                <w:sz w:val="24"/>
                <w:szCs w:val="24"/>
                <w:lang w:eastAsia="ru-RU"/>
              </w:rPr>
              <w:t>Наименование оператора связи</w:t>
            </w:r>
          </w:p>
        </w:tc>
        <w:tc>
          <w:tcPr>
            <w:tcW w:w="5103" w:type="dxa"/>
            <w:gridSpan w:val="3"/>
            <w:tcBorders>
              <w:top w:val="single" w:sz="4" w:space="0" w:color="auto"/>
              <w:left w:val="nil"/>
              <w:bottom w:val="single" w:sz="4" w:space="0" w:color="auto"/>
              <w:right w:val="single" w:sz="4" w:space="0" w:color="auto"/>
            </w:tcBorders>
            <w:shd w:val="clear" w:color="auto" w:fill="auto"/>
            <w:vAlign w:val="center"/>
            <w:hideMark/>
          </w:tcPr>
          <w:p w:rsidR="00D31594" w:rsidRPr="000B4BC2" w:rsidRDefault="00D31594" w:rsidP="00905F65">
            <w:pPr>
              <w:spacing w:after="0" w:line="240" w:lineRule="auto"/>
              <w:jc w:val="center"/>
              <w:rPr>
                <w:rFonts w:ascii="Times New Roman" w:eastAsia="Times New Roman" w:hAnsi="Times New Roman" w:cs="Times New Roman"/>
                <w:sz w:val="24"/>
                <w:szCs w:val="24"/>
                <w:lang w:eastAsia="ru-RU"/>
              </w:rPr>
            </w:pPr>
            <w:r w:rsidRPr="00473C08">
              <w:rPr>
                <w:rFonts w:ascii="Times New Roman" w:eastAsia="Times New Roman" w:hAnsi="Times New Roman" w:cs="Times New Roman"/>
                <w:color w:val="000000"/>
                <w:sz w:val="24"/>
                <w:szCs w:val="24"/>
                <w:lang w:eastAsia="ru-RU"/>
              </w:rPr>
              <w:t>Доли операторов</w:t>
            </w:r>
            <w:r>
              <w:rPr>
                <w:rFonts w:ascii="Times New Roman" w:eastAsia="Times New Roman" w:hAnsi="Times New Roman" w:cs="Times New Roman"/>
                <w:color w:val="000000"/>
                <w:sz w:val="24"/>
                <w:szCs w:val="24"/>
                <w:lang w:eastAsia="ru-RU"/>
              </w:rPr>
              <w:t xml:space="preserve"> по объемам оказанных услуг, в </w:t>
            </w:r>
            <w:r w:rsidRPr="000B4BC2">
              <w:rPr>
                <w:rFonts w:ascii="Times New Roman" w:eastAsia="Times New Roman" w:hAnsi="Times New Roman" w:cs="Times New Roman"/>
                <w:color w:val="000000"/>
                <w:sz w:val="24"/>
                <w:szCs w:val="24"/>
                <w:lang w:eastAsia="ru-RU"/>
              </w:rPr>
              <w:t>%</w:t>
            </w:r>
          </w:p>
        </w:tc>
      </w:tr>
      <w:tr w:rsidR="00D31594" w:rsidRPr="00DE2929" w:rsidTr="00905F65">
        <w:trPr>
          <w:gridAfter w:val="3"/>
          <w:wAfter w:w="5528" w:type="dxa"/>
          <w:trHeight w:val="315"/>
        </w:trPr>
        <w:tc>
          <w:tcPr>
            <w:tcW w:w="660" w:type="dxa"/>
            <w:vMerge/>
            <w:tcBorders>
              <w:left w:val="single" w:sz="4" w:space="0" w:color="auto"/>
              <w:bottom w:val="single" w:sz="4" w:space="0" w:color="auto"/>
              <w:right w:val="single" w:sz="4" w:space="0" w:color="auto"/>
            </w:tcBorders>
            <w:shd w:val="clear" w:color="auto" w:fill="auto"/>
            <w:vAlign w:val="bottom"/>
          </w:tcPr>
          <w:p w:rsidR="00D31594" w:rsidRDefault="00D31594" w:rsidP="00905F65">
            <w:pPr>
              <w:spacing w:after="0" w:line="240" w:lineRule="auto"/>
              <w:rPr>
                <w:rFonts w:ascii="Times New Roman" w:eastAsia="Times New Roman" w:hAnsi="Times New Roman" w:cs="Times New Roman"/>
                <w:color w:val="000000"/>
                <w:sz w:val="24"/>
                <w:szCs w:val="24"/>
                <w:lang w:eastAsia="ru-RU"/>
              </w:rPr>
            </w:pPr>
          </w:p>
        </w:tc>
        <w:tc>
          <w:tcPr>
            <w:tcW w:w="3701" w:type="dxa"/>
            <w:vMerge/>
            <w:tcBorders>
              <w:left w:val="nil"/>
              <w:bottom w:val="single" w:sz="4" w:space="0" w:color="auto"/>
              <w:right w:val="single" w:sz="4" w:space="0" w:color="auto"/>
            </w:tcBorders>
            <w:shd w:val="clear" w:color="auto" w:fill="auto"/>
            <w:vAlign w:val="bottom"/>
          </w:tcPr>
          <w:p w:rsidR="00D31594" w:rsidRPr="00BE6019" w:rsidRDefault="00D31594" w:rsidP="00905F65">
            <w:pPr>
              <w:spacing w:after="0" w:line="240" w:lineRule="auto"/>
              <w:rPr>
                <w:rFonts w:ascii="Times New Roman" w:eastAsia="Times New Roman" w:hAnsi="Times New Roman" w:cs="Times New Roman"/>
                <w:b/>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tcPr>
          <w:p w:rsidR="00D31594" w:rsidRPr="00BE6019" w:rsidRDefault="00D31594" w:rsidP="00905F6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Голос</w:t>
            </w:r>
          </w:p>
        </w:tc>
        <w:tc>
          <w:tcPr>
            <w:tcW w:w="1701" w:type="dxa"/>
            <w:tcBorders>
              <w:top w:val="nil"/>
              <w:left w:val="nil"/>
              <w:bottom w:val="single" w:sz="4" w:space="0" w:color="auto"/>
              <w:right w:val="single" w:sz="4" w:space="0" w:color="auto"/>
            </w:tcBorders>
            <w:shd w:val="clear" w:color="auto" w:fill="auto"/>
            <w:vAlign w:val="center"/>
          </w:tcPr>
          <w:p w:rsidR="00D31594" w:rsidRPr="00BE6019" w:rsidRDefault="00D31594" w:rsidP="00905F6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СМС</w:t>
            </w:r>
          </w:p>
        </w:tc>
        <w:tc>
          <w:tcPr>
            <w:tcW w:w="1701" w:type="dxa"/>
            <w:tcBorders>
              <w:top w:val="nil"/>
              <w:left w:val="nil"/>
              <w:bottom w:val="single" w:sz="4" w:space="0" w:color="auto"/>
              <w:right w:val="single" w:sz="4" w:space="0" w:color="auto"/>
            </w:tcBorders>
            <w:shd w:val="clear" w:color="auto" w:fill="auto"/>
            <w:vAlign w:val="center"/>
          </w:tcPr>
          <w:p w:rsidR="00D31594" w:rsidRPr="00BE6019" w:rsidRDefault="00D31594" w:rsidP="00905F6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Передача данных</w:t>
            </w:r>
          </w:p>
        </w:tc>
      </w:tr>
      <w:tr w:rsidR="00746845" w:rsidRPr="00DE2929" w:rsidTr="00CC7E4D">
        <w:trPr>
          <w:gridAfter w:val="3"/>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746845" w:rsidRPr="00DE2929" w:rsidRDefault="00746845" w:rsidP="007468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701" w:type="dxa"/>
            <w:tcBorders>
              <w:top w:val="nil"/>
              <w:left w:val="nil"/>
              <w:bottom w:val="single" w:sz="4" w:space="0" w:color="auto"/>
              <w:right w:val="single" w:sz="4" w:space="0" w:color="auto"/>
            </w:tcBorders>
            <w:shd w:val="clear" w:color="auto" w:fill="auto"/>
            <w:vAlign w:val="bottom"/>
          </w:tcPr>
          <w:p w:rsidR="00746845" w:rsidRPr="00224C33" w:rsidRDefault="00746845" w:rsidP="00746845">
            <w:pPr>
              <w:spacing w:after="0" w:line="240" w:lineRule="auto"/>
              <w:rPr>
                <w:rFonts w:ascii="Times New Roman" w:eastAsia="Times New Roman" w:hAnsi="Times New Roman" w:cs="Times New Roman"/>
                <w:b/>
                <w:color w:val="000000"/>
                <w:sz w:val="24"/>
                <w:szCs w:val="24"/>
                <w:lang w:eastAsia="ru-RU"/>
              </w:rPr>
            </w:pPr>
            <w:r w:rsidRPr="00224C33">
              <w:rPr>
                <w:rFonts w:ascii="Times New Roman" w:eastAsia="Times New Roman" w:hAnsi="Times New Roman" w:cs="Times New Roman"/>
                <w:b/>
                <w:color w:val="000000"/>
                <w:sz w:val="24"/>
                <w:szCs w:val="24"/>
                <w:lang w:eastAsia="ru-RU"/>
              </w:rPr>
              <w:t>ПАО «ВымпелКом»</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spacing w:after="0" w:line="240" w:lineRule="auto"/>
              <w:jc w:val="center"/>
              <w:rPr>
                <w:rFonts w:ascii="Times New Roman" w:eastAsia="Times New Roman" w:hAnsi="Times New Roman" w:cs="Times New Roman"/>
                <w:b/>
                <w:color w:val="FFFFFF" w:themeColor="background1"/>
                <w:sz w:val="24"/>
                <w:szCs w:val="24"/>
                <w:lang w:eastAsia="ru-RU"/>
              </w:rPr>
            </w:pPr>
            <w:r w:rsidRPr="00556F25">
              <w:rPr>
                <w:rFonts w:ascii="Times New Roman" w:eastAsia="Times New Roman" w:hAnsi="Times New Roman" w:cs="Times New Roman"/>
                <w:b/>
                <w:color w:val="FFFFFF" w:themeColor="background1"/>
                <w:sz w:val="24"/>
                <w:szCs w:val="24"/>
                <w:lang w:eastAsia="ru-RU"/>
              </w:rPr>
              <w:t>20</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23</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17</w:t>
            </w:r>
          </w:p>
        </w:tc>
      </w:tr>
      <w:tr w:rsidR="00746845" w:rsidRPr="00DE2929" w:rsidTr="00CC7E4D">
        <w:trPr>
          <w:gridAfter w:val="3"/>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746845" w:rsidRPr="00DE2929" w:rsidRDefault="00746845" w:rsidP="007468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701" w:type="dxa"/>
            <w:tcBorders>
              <w:top w:val="nil"/>
              <w:left w:val="nil"/>
              <w:bottom w:val="single" w:sz="4" w:space="0" w:color="auto"/>
              <w:right w:val="single" w:sz="4" w:space="0" w:color="auto"/>
            </w:tcBorders>
            <w:shd w:val="clear" w:color="auto" w:fill="auto"/>
            <w:vAlign w:val="bottom"/>
          </w:tcPr>
          <w:p w:rsidR="00746845" w:rsidRPr="00224C33" w:rsidRDefault="00746845" w:rsidP="00746845">
            <w:pPr>
              <w:spacing w:after="0" w:line="240" w:lineRule="auto"/>
              <w:rPr>
                <w:rFonts w:ascii="Times New Roman" w:eastAsia="Times New Roman" w:hAnsi="Times New Roman" w:cs="Times New Roman"/>
                <w:b/>
                <w:color w:val="000000"/>
                <w:sz w:val="24"/>
                <w:szCs w:val="24"/>
                <w:lang w:eastAsia="ru-RU"/>
              </w:rPr>
            </w:pPr>
            <w:r w:rsidRPr="00224C33">
              <w:rPr>
                <w:rFonts w:ascii="Times New Roman" w:eastAsia="Times New Roman" w:hAnsi="Times New Roman" w:cs="Times New Roman"/>
                <w:b/>
                <w:color w:val="000000"/>
                <w:sz w:val="24"/>
                <w:szCs w:val="24"/>
                <w:lang w:eastAsia="ru-RU"/>
              </w:rPr>
              <w:t>ПАО «МТС»</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spacing w:after="0" w:line="240" w:lineRule="auto"/>
              <w:jc w:val="center"/>
              <w:rPr>
                <w:rFonts w:ascii="Times New Roman" w:eastAsia="Times New Roman" w:hAnsi="Times New Roman" w:cs="Times New Roman"/>
                <w:b/>
                <w:color w:val="FFFFFF" w:themeColor="background1"/>
                <w:sz w:val="24"/>
                <w:szCs w:val="24"/>
                <w:lang w:eastAsia="ru-RU"/>
              </w:rPr>
            </w:pPr>
            <w:r w:rsidRPr="00556F25">
              <w:rPr>
                <w:rFonts w:ascii="Times New Roman" w:eastAsia="Times New Roman" w:hAnsi="Times New Roman" w:cs="Times New Roman"/>
                <w:b/>
                <w:color w:val="FFFFFF" w:themeColor="background1"/>
                <w:sz w:val="24"/>
                <w:szCs w:val="24"/>
                <w:lang w:eastAsia="ru-RU"/>
              </w:rPr>
              <w:t>32</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30</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36</w:t>
            </w:r>
          </w:p>
        </w:tc>
      </w:tr>
      <w:tr w:rsidR="00746845" w:rsidRPr="00DE2929" w:rsidTr="00CC7E4D">
        <w:trPr>
          <w:gridAfter w:val="3"/>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746845" w:rsidRPr="00DE2929" w:rsidRDefault="00746845" w:rsidP="007468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701" w:type="dxa"/>
            <w:tcBorders>
              <w:top w:val="nil"/>
              <w:left w:val="nil"/>
              <w:bottom w:val="single" w:sz="4" w:space="0" w:color="auto"/>
              <w:right w:val="single" w:sz="4" w:space="0" w:color="auto"/>
            </w:tcBorders>
            <w:shd w:val="clear" w:color="auto" w:fill="auto"/>
            <w:vAlign w:val="bottom"/>
          </w:tcPr>
          <w:p w:rsidR="00746845" w:rsidRPr="00224C33" w:rsidRDefault="00746845" w:rsidP="00746845">
            <w:pPr>
              <w:spacing w:after="0" w:line="240" w:lineRule="auto"/>
              <w:rPr>
                <w:rFonts w:ascii="Times New Roman" w:eastAsia="Times New Roman" w:hAnsi="Times New Roman" w:cs="Times New Roman"/>
                <w:b/>
                <w:sz w:val="24"/>
                <w:szCs w:val="24"/>
                <w:lang w:eastAsia="ru-RU"/>
              </w:rPr>
            </w:pPr>
            <w:r w:rsidRPr="00224C33">
              <w:rPr>
                <w:rFonts w:ascii="Times New Roman" w:eastAsia="Times New Roman" w:hAnsi="Times New Roman" w:cs="Times New Roman"/>
                <w:b/>
                <w:sz w:val="24"/>
                <w:szCs w:val="24"/>
                <w:lang w:eastAsia="ru-RU"/>
              </w:rPr>
              <w:t>ПАО «МегаФон»</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spacing w:after="0" w:line="240" w:lineRule="auto"/>
              <w:jc w:val="center"/>
              <w:rPr>
                <w:rFonts w:ascii="Times New Roman" w:eastAsia="Times New Roman" w:hAnsi="Times New Roman" w:cs="Times New Roman"/>
                <w:b/>
                <w:color w:val="FFFFFF" w:themeColor="background1"/>
                <w:sz w:val="24"/>
                <w:szCs w:val="24"/>
                <w:lang w:eastAsia="ru-RU"/>
              </w:rPr>
            </w:pPr>
            <w:r w:rsidRPr="00556F25">
              <w:rPr>
                <w:rFonts w:ascii="Times New Roman" w:eastAsia="Times New Roman" w:hAnsi="Times New Roman" w:cs="Times New Roman"/>
                <w:b/>
                <w:color w:val="FFFFFF" w:themeColor="background1"/>
                <w:sz w:val="24"/>
                <w:szCs w:val="24"/>
                <w:lang w:eastAsia="ru-RU"/>
              </w:rPr>
              <w:t>23</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26</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15</w:t>
            </w:r>
          </w:p>
        </w:tc>
      </w:tr>
      <w:tr w:rsidR="00746845" w:rsidRPr="00DE2929" w:rsidTr="00CC7E4D">
        <w:trPr>
          <w:gridAfter w:val="3"/>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746845" w:rsidRPr="00DE2929" w:rsidRDefault="00746845" w:rsidP="007468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701" w:type="dxa"/>
            <w:tcBorders>
              <w:top w:val="nil"/>
              <w:left w:val="nil"/>
              <w:bottom w:val="single" w:sz="4" w:space="0" w:color="auto"/>
              <w:right w:val="single" w:sz="4" w:space="0" w:color="auto"/>
            </w:tcBorders>
            <w:shd w:val="clear" w:color="auto" w:fill="auto"/>
            <w:vAlign w:val="bottom"/>
          </w:tcPr>
          <w:p w:rsidR="00746845" w:rsidRPr="00224C33" w:rsidRDefault="00746845" w:rsidP="00746845">
            <w:pPr>
              <w:spacing w:after="0" w:line="240" w:lineRule="auto"/>
              <w:rPr>
                <w:rFonts w:ascii="Times New Roman" w:eastAsia="Times New Roman" w:hAnsi="Times New Roman" w:cs="Times New Roman"/>
                <w:b/>
                <w:color w:val="000000"/>
                <w:sz w:val="24"/>
                <w:szCs w:val="24"/>
                <w:lang w:eastAsia="ru-RU"/>
              </w:rPr>
            </w:pPr>
            <w:r w:rsidRPr="00224C33">
              <w:rPr>
                <w:rFonts w:ascii="Times New Roman" w:eastAsia="Times New Roman" w:hAnsi="Times New Roman" w:cs="Times New Roman"/>
                <w:b/>
                <w:color w:val="000000"/>
                <w:sz w:val="24"/>
                <w:szCs w:val="24"/>
                <w:lang w:eastAsia="ru-RU"/>
              </w:rPr>
              <w:t xml:space="preserve">ООО «Т2 </w:t>
            </w:r>
            <w:proofErr w:type="spellStart"/>
            <w:r w:rsidRPr="00224C33">
              <w:rPr>
                <w:rFonts w:ascii="Times New Roman" w:eastAsia="Times New Roman" w:hAnsi="Times New Roman" w:cs="Times New Roman"/>
                <w:b/>
                <w:color w:val="000000"/>
                <w:sz w:val="24"/>
                <w:szCs w:val="24"/>
                <w:lang w:eastAsia="ru-RU"/>
              </w:rPr>
              <w:t>Мобайл</w:t>
            </w:r>
            <w:proofErr w:type="spellEnd"/>
            <w:r w:rsidRPr="00224C33">
              <w:rPr>
                <w:rFonts w:ascii="Times New Roman" w:eastAsia="Times New Roman" w:hAnsi="Times New Roman" w:cs="Times New Roman"/>
                <w:b/>
                <w:color w:val="000000"/>
                <w:sz w:val="24"/>
                <w:szCs w:val="24"/>
                <w:lang w:eastAsia="ru-RU"/>
              </w:rPr>
              <w:t>»</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spacing w:after="0" w:line="240" w:lineRule="auto"/>
              <w:jc w:val="center"/>
              <w:rPr>
                <w:rFonts w:ascii="Times New Roman" w:eastAsia="Times New Roman" w:hAnsi="Times New Roman" w:cs="Times New Roman"/>
                <w:b/>
                <w:color w:val="FFFFFF" w:themeColor="background1"/>
                <w:sz w:val="24"/>
                <w:szCs w:val="24"/>
                <w:lang w:eastAsia="ru-RU"/>
              </w:rPr>
            </w:pPr>
            <w:r w:rsidRPr="00556F25">
              <w:rPr>
                <w:rFonts w:ascii="Times New Roman" w:eastAsia="Times New Roman" w:hAnsi="Times New Roman" w:cs="Times New Roman"/>
                <w:b/>
                <w:color w:val="FFFFFF" w:themeColor="background1"/>
                <w:sz w:val="24"/>
                <w:szCs w:val="24"/>
                <w:lang w:eastAsia="ru-RU"/>
              </w:rPr>
              <w:t>21</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14</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20</w:t>
            </w:r>
          </w:p>
        </w:tc>
      </w:tr>
      <w:tr w:rsidR="00746845" w:rsidRPr="00DE2929" w:rsidTr="00CC7E4D">
        <w:trPr>
          <w:gridAfter w:val="3"/>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746845" w:rsidRPr="00DE2929" w:rsidRDefault="00746845" w:rsidP="007468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701" w:type="dxa"/>
            <w:tcBorders>
              <w:top w:val="nil"/>
              <w:left w:val="nil"/>
              <w:bottom w:val="single" w:sz="4" w:space="0" w:color="auto"/>
              <w:right w:val="single" w:sz="4" w:space="0" w:color="auto"/>
            </w:tcBorders>
            <w:shd w:val="clear" w:color="auto" w:fill="auto"/>
            <w:vAlign w:val="bottom"/>
          </w:tcPr>
          <w:p w:rsidR="00746845" w:rsidRPr="00DE2929" w:rsidRDefault="00746845" w:rsidP="007468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w:t>
            </w:r>
            <w:proofErr w:type="spellStart"/>
            <w:r>
              <w:rPr>
                <w:rFonts w:ascii="Times New Roman" w:eastAsia="Times New Roman" w:hAnsi="Times New Roman" w:cs="Times New Roman"/>
                <w:sz w:val="24"/>
                <w:szCs w:val="24"/>
                <w:lang w:eastAsia="ru-RU"/>
              </w:rPr>
              <w:t>Скартел</w:t>
            </w:r>
            <w:proofErr w:type="spellEnd"/>
            <w:r>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spacing w:after="0" w:line="240" w:lineRule="auto"/>
              <w:jc w:val="center"/>
              <w:rPr>
                <w:rFonts w:ascii="Times New Roman" w:eastAsia="Times New Roman" w:hAnsi="Times New Roman" w:cs="Times New Roman"/>
                <w:color w:val="FFFFFF" w:themeColor="background1"/>
                <w:sz w:val="24"/>
                <w:szCs w:val="24"/>
                <w:lang w:eastAsia="ru-RU"/>
              </w:rPr>
            </w:pPr>
            <w:r w:rsidRPr="00556F25">
              <w:rPr>
                <w:rFonts w:ascii="Times New Roman" w:eastAsia="Times New Roman" w:hAnsi="Times New Roman" w:cs="Times New Roman"/>
                <w:color w:val="FFFFFF" w:themeColor="background1"/>
                <w:sz w:val="24"/>
                <w:szCs w:val="24"/>
                <w:lang w:eastAsia="ru-RU"/>
              </w:rPr>
              <w:t>1,72</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2,06</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6,91</w:t>
            </w:r>
          </w:p>
        </w:tc>
      </w:tr>
      <w:tr w:rsidR="00746845" w:rsidRPr="00DE2929" w:rsidTr="00CC7E4D">
        <w:trPr>
          <w:gridAfter w:val="3"/>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746845" w:rsidRDefault="00746845" w:rsidP="007468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3701" w:type="dxa"/>
            <w:tcBorders>
              <w:top w:val="nil"/>
              <w:left w:val="nil"/>
              <w:bottom w:val="single" w:sz="4" w:space="0" w:color="auto"/>
              <w:right w:val="single" w:sz="4" w:space="0" w:color="auto"/>
            </w:tcBorders>
            <w:shd w:val="clear" w:color="auto" w:fill="auto"/>
            <w:vAlign w:val="bottom"/>
          </w:tcPr>
          <w:p w:rsidR="00746845" w:rsidRDefault="00746845" w:rsidP="007468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«Екатеринбург-2000»</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spacing w:after="0" w:line="240" w:lineRule="auto"/>
              <w:jc w:val="center"/>
              <w:rPr>
                <w:rFonts w:ascii="Times New Roman" w:eastAsia="Times New Roman" w:hAnsi="Times New Roman" w:cs="Times New Roman"/>
                <w:color w:val="FFFFFF" w:themeColor="background1"/>
                <w:sz w:val="24"/>
                <w:szCs w:val="24"/>
                <w:lang w:eastAsia="ru-RU"/>
              </w:rPr>
            </w:pPr>
            <w:r w:rsidRPr="00556F25">
              <w:rPr>
                <w:rFonts w:ascii="Times New Roman" w:eastAsia="Times New Roman" w:hAnsi="Times New Roman" w:cs="Times New Roman"/>
                <w:color w:val="FFFFFF" w:themeColor="background1"/>
                <w:sz w:val="24"/>
                <w:szCs w:val="24"/>
                <w:lang w:eastAsia="ru-RU"/>
              </w:rPr>
              <w:t>0,51</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0,95</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0,58</w:t>
            </w:r>
          </w:p>
        </w:tc>
      </w:tr>
      <w:tr w:rsidR="00746845" w:rsidRPr="00DE2929" w:rsidTr="00CC7E4D">
        <w:trPr>
          <w:gridAfter w:val="3"/>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746845" w:rsidRPr="00DE2929" w:rsidRDefault="00746845" w:rsidP="007468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3701" w:type="dxa"/>
            <w:tcBorders>
              <w:top w:val="nil"/>
              <w:left w:val="nil"/>
              <w:bottom w:val="single" w:sz="4" w:space="0" w:color="auto"/>
              <w:right w:val="single" w:sz="4" w:space="0" w:color="auto"/>
            </w:tcBorders>
            <w:shd w:val="clear" w:color="auto" w:fill="auto"/>
            <w:vAlign w:val="bottom"/>
          </w:tcPr>
          <w:p w:rsidR="00746845" w:rsidRPr="00224C33" w:rsidRDefault="00746845" w:rsidP="00746845">
            <w:pPr>
              <w:spacing w:after="0" w:line="240" w:lineRule="auto"/>
              <w:rPr>
                <w:rFonts w:ascii="Times New Roman" w:eastAsia="Times New Roman" w:hAnsi="Times New Roman" w:cs="Times New Roman"/>
                <w:color w:val="000000"/>
                <w:sz w:val="24"/>
                <w:szCs w:val="24"/>
                <w:lang w:eastAsia="ru-RU"/>
              </w:rPr>
            </w:pPr>
            <w:r w:rsidRPr="00224C33">
              <w:rPr>
                <w:rFonts w:ascii="Times New Roman" w:eastAsia="Times New Roman" w:hAnsi="Times New Roman" w:cs="Times New Roman"/>
                <w:color w:val="000000"/>
                <w:sz w:val="24"/>
                <w:szCs w:val="24"/>
                <w:lang w:eastAsia="ru-RU"/>
              </w:rPr>
              <w:t>ООО «ТМТ»</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spacing w:after="0" w:line="240" w:lineRule="auto"/>
              <w:jc w:val="center"/>
              <w:rPr>
                <w:rFonts w:ascii="Times New Roman" w:eastAsia="Times New Roman" w:hAnsi="Times New Roman" w:cs="Times New Roman"/>
                <w:color w:val="FFFFFF" w:themeColor="background1"/>
                <w:sz w:val="24"/>
                <w:szCs w:val="24"/>
                <w:lang w:eastAsia="ru-RU"/>
              </w:rPr>
            </w:pPr>
            <w:r w:rsidRPr="00556F25">
              <w:rPr>
                <w:rFonts w:ascii="Times New Roman" w:eastAsia="Times New Roman" w:hAnsi="Times New Roman" w:cs="Times New Roman"/>
                <w:color w:val="FFFFFF" w:themeColor="background1"/>
                <w:sz w:val="24"/>
                <w:szCs w:val="24"/>
                <w:lang w:eastAsia="ru-RU"/>
              </w:rPr>
              <w:t>0,24</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0,20</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0,53</w:t>
            </w:r>
          </w:p>
        </w:tc>
      </w:tr>
      <w:tr w:rsidR="00746845" w:rsidRPr="00DE2929" w:rsidTr="00CC7E4D">
        <w:trPr>
          <w:gridAfter w:val="3"/>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746845" w:rsidRPr="00DE2929" w:rsidRDefault="00746845" w:rsidP="007468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701" w:type="dxa"/>
            <w:tcBorders>
              <w:top w:val="nil"/>
              <w:left w:val="nil"/>
              <w:bottom w:val="single" w:sz="4" w:space="0" w:color="auto"/>
              <w:right w:val="single" w:sz="4" w:space="0" w:color="auto"/>
            </w:tcBorders>
            <w:shd w:val="clear" w:color="auto" w:fill="auto"/>
            <w:vAlign w:val="bottom"/>
          </w:tcPr>
          <w:p w:rsidR="00746845" w:rsidRPr="00224C33" w:rsidRDefault="00746845" w:rsidP="00746845">
            <w:pPr>
              <w:spacing w:after="0" w:line="240" w:lineRule="auto"/>
              <w:rPr>
                <w:rFonts w:ascii="Times New Roman" w:eastAsia="Times New Roman" w:hAnsi="Times New Roman" w:cs="Times New Roman"/>
                <w:color w:val="000000"/>
                <w:sz w:val="24"/>
                <w:szCs w:val="24"/>
                <w:lang w:eastAsia="ru-RU"/>
              </w:rPr>
            </w:pPr>
            <w:r w:rsidRPr="00224C33">
              <w:rPr>
                <w:rFonts w:ascii="Times New Roman" w:eastAsia="Times New Roman" w:hAnsi="Times New Roman" w:cs="Times New Roman"/>
                <w:color w:val="000000"/>
                <w:sz w:val="24"/>
                <w:szCs w:val="24"/>
                <w:lang w:eastAsia="ru-RU"/>
              </w:rPr>
              <w:t>ПАО «Ростелеком»</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0,28</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1,87</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0,87</w:t>
            </w:r>
          </w:p>
        </w:tc>
      </w:tr>
      <w:tr w:rsidR="00746845" w:rsidRPr="00DE2929" w:rsidTr="00CC7E4D">
        <w:trPr>
          <w:gridAfter w:val="3"/>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746845" w:rsidRPr="00DE2929" w:rsidRDefault="00746845" w:rsidP="007468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3701" w:type="dxa"/>
            <w:tcBorders>
              <w:top w:val="nil"/>
              <w:left w:val="nil"/>
              <w:bottom w:val="single" w:sz="4" w:space="0" w:color="auto"/>
              <w:right w:val="single" w:sz="4" w:space="0" w:color="auto"/>
            </w:tcBorders>
            <w:shd w:val="clear" w:color="auto" w:fill="auto"/>
            <w:vAlign w:val="bottom"/>
          </w:tcPr>
          <w:p w:rsidR="00746845" w:rsidRPr="00224C33" w:rsidRDefault="00746845" w:rsidP="00746845">
            <w:pPr>
              <w:spacing w:after="0" w:line="240" w:lineRule="auto"/>
              <w:rPr>
                <w:rFonts w:ascii="Times New Roman" w:eastAsia="Times New Roman" w:hAnsi="Times New Roman" w:cs="Times New Roman"/>
                <w:color w:val="000000"/>
                <w:sz w:val="24"/>
                <w:szCs w:val="24"/>
                <w:lang w:eastAsia="ru-RU"/>
              </w:rPr>
            </w:pPr>
            <w:r w:rsidRPr="00224C33">
              <w:rPr>
                <w:rFonts w:ascii="Times New Roman" w:eastAsia="Times New Roman" w:hAnsi="Times New Roman" w:cs="Times New Roman"/>
                <w:color w:val="000000"/>
                <w:sz w:val="24"/>
                <w:szCs w:val="24"/>
                <w:lang w:eastAsia="ru-RU"/>
              </w:rPr>
              <w:t>ПАО «МГТС»</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0,26</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1,02</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0,15</w:t>
            </w:r>
          </w:p>
        </w:tc>
      </w:tr>
      <w:tr w:rsidR="00746845" w:rsidRPr="00DE2929" w:rsidTr="00CC7E4D">
        <w:trPr>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746845" w:rsidRPr="00DE2929" w:rsidRDefault="00746845" w:rsidP="007468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3701" w:type="dxa"/>
            <w:tcBorders>
              <w:top w:val="nil"/>
              <w:left w:val="nil"/>
              <w:bottom w:val="single" w:sz="4" w:space="0" w:color="auto"/>
              <w:right w:val="single" w:sz="4" w:space="0" w:color="auto"/>
            </w:tcBorders>
            <w:shd w:val="clear" w:color="auto" w:fill="auto"/>
            <w:vAlign w:val="bottom"/>
          </w:tcPr>
          <w:p w:rsidR="00746845" w:rsidRPr="00224C33" w:rsidRDefault="00746845" w:rsidP="00746845">
            <w:pPr>
              <w:spacing w:after="0" w:line="240" w:lineRule="auto"/>
              <w:rPr>
                <w:rFonts w:ascii="Times New Roman" w:eastAsia="Times New Roman" w:hAnsi="Times New Roman" w:cs="Times New Roman"/>
                <w:sz w:val="24"/>
                <w:szCs w:val="24"/>
                <w:lang w:eastAsia="ru-RU"/>
              </w:rPr>
            </w:pPr>
            <w:r w:rsidRPr="00224C33">
              <w:rPr>
                <w:rFonts w:ascii="Times New Roman" w:eastAsia="Times New Roman" w:hAnsi="Times New Roman" w:cs="Times New Roman"/>
                <w:sz w:val="24"/>
                <w:szCs w:val="24"/>
                <w:lang w:eastAsia="ru-RU"/>
              </w:rPr>
              <w:t>ООО «К-Телеком»</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0,04</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0,02</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0,02</w:t>
            </w:r>
          </w:p>
        </w:tc>
        <w:tc>
          <w:tcPr>
            <w:tcW w:w="1842" w:type="dxa"/>
            <w:vAlign w:val="bottom"/>
          </w:tcPr>
          <w:p w:rsidR="00746845" w:rsidRPr="00DE2929" w:rsidRDefault="00746845" w:rsidP="00746845">
            <w:pPr>
              <w:spacing w:after="0" w:line="240" w:lineRule="auto"/>
              <w:jc w:val="center"/>
              <w:rPr>
                <w:rFonts w:ascii="Times New Roman" w:eastAsia="Times New Roman" w:hAnsi="Times New Roman" w:cs="Times New Roman"/>
                <w:sz w:val="24"/>
                <w:szCs w:val="24"/>
                <w:lang w:eastAsia="ru-RU"/>
              </w:rPr>
            </w:pPr>
          </w:p>
        </w:tc>
        <w:tc>
          <w:tcPr>
            <w:tcW w:w="1843" w:type="dxa"/>
            <w:vAlign w:val="bottom"/>
          </w:tcPr>
          <w:p w:rsidR="00746845" w:rsidRPr="00DE2929" w:rsidRDefault="00746845" w:rsidP="00746845">
            <w:pPr>
              <w:spacing w:after="0" w:line="240" w:lineRule="auto"/>
              <w:jc w:val="center"/>
              <w:rPr>
                <w:rFonts w:ascii="Times New Roman" w:eastAsia="Times New Roman" w:hAnsi="Times New Roman" w:cs="Times New Roman"/>
                <w:sz w:val="24"/>
                <w:szCs w:val="24"/>
                <w:lang w:eastAsia="ru-RU"/>
              </w:rPr>
            </w:pPr>
          </w:p>
        </w:tc>
        <w:tc>
          <w:tcPr>
            <w:tcW w:w="1843" w:type="dxa"/>
            <w:vAlign w:val="bottom"/>
          </w:tcPr>
          <w:p w:rsidR="00746845" w:rsidRPr="00DE2929" w:rsidRDefault="00746845" w:rsidP="00746845">
            <w:pPr>
              <w:spacing w:after="0" w:line="240" w:lineRule="auto"/>
              <w:jc w:val="center"/>
              <w:rPr>
                <w:rFonts w:ascii="Times New Roman" w:eastAsia="Times New Roman" w:hAnsi="Times New Roman" w:cs="Times New Roman"/>
                <w:sz w:val="24"/>
                <w:szCs w:val="24"/>
                <w:lang w:eastAsia="ru-RU"/>
              </w:rPr>
            </w:pPr>
          </w:p>
        </w:tc>
      </w:tr>
      <w:tr w:rsidR="00746845" w:rsidRPr="00DE2929" w:rsidTr="00CC7E4D">
        <w:trPr>
          <w:gridAfter w:val="3"/>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746845" w:rsidRPr="00DE2929" w:rsidRDefault="00746845" w:rsidP="007468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3701" w:type="dxa"/>
            <w:tcBorders>
              <w:top w:val="nil"/>
              <w:left w:val="nil"/>
              <w:bottom w:val="single" w:sz="4" w:space="0" w:color="auto"/>
              <w:right w:val="single" w:sz="4" w:space="0" w:color="auto"/>
            </w:tcBorders>
            <w:shd w:val="clear" w:color="auto" w:fill="auto"/>
            <w:vAlign w:val="bottom"/>
          </w:tcPr>
          <w:p w:rsidR="00746845" w:rsidRPr="00224C33" w:rsidRDefault="00746845" w:rsidP="00746845">
            <w:pPr>
              <w:spacing w:after="0" w:line="240" w:lineRule="auto"/>
              <w:rPr>
                <w:rFonts w:ascii="Times New Roman" w:eastAsia="Times New Roman" w:hAnsi="Times New Roman" w:cs="Times New Roman"/>
                <w:color w:val="000000"/>
                <w:sz w:val="24"/>
                <w:szCs w:val="24"/>
                <w:lang w:eastAsia="ru-RU"/>
              </w:rPr>
            </w:pPr>
            <w:r w:rsidRPr="00224C33">
              <w:rPr>
                <w:rFonts w:ascii="Times New Roman" w:eastAsia="Times New Roman" w:hAnsi="Times New Roman" w:cs="Times New Roman"/>
                <w:color w:val="000000"/>
                <w:sz w:val="24"/>
                <w:szCs w:val="24"/>
                <w:lang w:eastAsia="ru-RU"/>
              </w:rPr>
              <w:t>ГУП РК «</w:t>
            </w:r>
            <w:proofErr w:type="spellStart"/>
            <w:r w:rsidRPr="00224C33">
              <w:rPr>
                <w:rFonts w:ascii="Times New Roman" w:eastAsia="Times New Roman" w:hAnsi="Times New Roman" w:cs="Times New Roman"/>
                <w:color w:val="000000"/>
                <w:sz w:val="24"/>
                <w:szCs w:val="24"/>
                <w:lang w:eastAsia="ru-RU"/>
              </w:rPr>
              <w:t>КрымТелеКом</w:t>
            </w:r>
            <w:proofErr w:type="spellEnd"/>
            <w:r w:rsidRPr="00224C33">
              <w:rPr>
                <w:rFonts w:ascii="Times New Roman" w:eastAsia="Times New Roman" w:hAnsi="Times New Roman" w:cs="Times New Roman"/>
                <w:color w:val="000000"/>
                <w:sz w:val="24"/>
                <w:szCs w:val="24"/>
                <w:lang w:eastAsia="ru-RU"/>
              </w:rPr>
              <w:t>»</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0,00</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0,00</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0,00</w:t>
            </w:r>
          </w:p>
        </w:tc>
      </w:tr>
      <w:tr w:rsidR="00746845" w:rsidRPr="00DE2929" w:rsidTr="00CC7E4D">
        <w:trPr>
          <w:gridAfter w:val="3"/>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746845" w:rsidRPr="00DE2929" w:rsidRDefault="00746845" w:rsidP="007468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3701" w:type="dxa"/>
            <w:tcBorders>
              <w:top w:val="nil"/>
              <w:left w:val="nil"/>
              <w:bottom w:val="single" w:sz="4" w:space="0" w:color="auto"/>
              <w:right w:val="single" w:sz="4" w:space="0" w:color="auto"/>
            </w:tcBorders>
            <w:shd w:val="clear" w:color="auto" w:fill="auto"/>
            <w:vAlign w:val="bottom"/>
          </w:tcPr>
          <w:p w:rsidR="00746845" w:rsidRDefault="00746845" w:rsidP="0074684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ООО «</w:t>
            </w:r>
            <w:proofErr w:type="spellStart"/>
            <w:r>
              <w:rPr>
                <w:rFonts w:ascii="Times New Roman" w:eastAsia="Times New Roman" w:hAnsi="Times New Roman" w:cs="Times New Roman"/>
                <w:color w:val="000000"/>
                <w:sz w:val="24"/>
                <w:szCs w:val="24"/>
                <w:lang w:eastAsia="ru-RU"/>
              </w:rPr>
              <w:t>СевтелекомСвязь</w:t>
            </w:r>
            <w:proofErr w:type="spellEnd"/>
            <w:r>
              <w:rPr>
                <w:rFonts w:ascii="Times New Roman" w:eastAsia="Times New Roman" w:hAnsi="Times New Roman" w:cs="Times New Roman"/>
                <w:color w:val="000000"/>
                <w:sz w:val="24"/>
                <w:szCs w:val="24"/>
                <w:lang w:eastAsia="ru-RU"/>
              </w:rPr>
              <w:t>»</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0,00</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0,00</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0,01</w:t>
            </w:r>
          </w:p>
        </w:tc>
      </w:tr>
      <w:tr w:rsidR="00746845" w:rsidRPr="00DE2929" w:rsidTr="00CC7E4D">
        <w:trPr>
          <w:gridAfter w:val="3"/>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746845" w:rsidRPr="00DE2929" w:rsidRDefault="00746845" w:rsidP="007468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3701" w:type="dxa"/>
            <w:tcBorders>
              <w:top w:val="nil"/>
              <w:left w:val="nil"/>
              <w:bottom w:val="single" w:sz="4" w:space="0" w:color="auto"/>
              <w:right w:val="single" w:sz="4" w:space="0" w:color="auto"/>
            </w:tcBorders>
            <w:shd w:val="clear" w:color="auto" w:fill="auto"/>
            <w:vAlign w:val="bottom"/>
          </w:tcPr>
          <w:p w:rsidR="00746845" w:rsidRPr="00DE2929" w:rsidRDefault="00746845" w:rsidP="007468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«КТК-Телеком»</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0,04</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0,07</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0,05</w:t>
            </w:r>
          </w:p>
        </w:tc>
      </w:tr>
      <w:tr w:rsidR="00746845" w:rsidRPr="00DE2929" w:rsidTr="00CC7E4D">
        <w:trPr>
          <w:gridAfter w:val="3"/>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746845" w:rsidRPr="00DE2929" w:rsidRDefault="00746845" w:rsidP="007468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3701" w:type="dxa"/>
            <w:tcBorders>
              <w:top w:val="nil"/>
              <w:left w:val="nil"/>
              <w:bottom w:val="single" w:sz="4" w:space="0" w:color="auto"/>
              <w:right w:val="single" w:sz="4" w:space="0" w:color="auto"/>
            </w:tcBorders>
            <w:shd w:val="clear" w:color="auto" w:fill="auto"/>
            <w:vAlign w:val="bottom"/>
          </w:tcPr>
          <w:p w:rsidR="00746845" w:rsidRPr="000F45F3" w:rsidRDefault="00746845" w:rsidP="00746845">
            <w:pPr>
              <w:spacing w:after="0" w:line="240" w:lineRule="auto"/>
              <w:rPr>
                <w:rFonts w:ascii="Times New Roman" w:eastAsia="Times New Roman" w:hAnsi="Times New Roman" w:cs="Times New Roman"/>
                <w:sz w:val="24"/>
                <w:szCs w:val="24"/>
                <w:lang w:eastAsia="ru-RU"/>
              </w:rPr>
            </w:pPr>
            <w:r w:rsidRPr="000F45F3">
              <w:rPr>
                <w:rFonts w:ascii="Times New Roman" w:eastAsia="Times New Roman" w:hAnsi="Times New Roman" w:cs="Times New Roman"/>
                <w:sz w:val="24"/>
                <w:szCs w:val="24"/>
                <w:lang w:eastAsia="ru-RU"/>
              </w:rPr>
              <w:t>ЗАО «АКОС»</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0,15</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0,06</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0,24</w:t>
            </w:r>
          </w:p>
        </w:tc>
      </w:tr>
      <w:tr w:rsidR="00746845" w:rsidRPr="00DE2929" w:rsidTr="00CC7E4D">
        <w:trPr>
          <w:gridAfter w:val="3"/>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746845" w:rsidRPr="00DE2929" w:rsidRDefault="00746845" w:rsidP="007468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3701" w:type="dxa"/>
            <w:tcBorders>
              <w:top w:val="nil"/>
              <w:left w:val="nil"/>
              <w:bottom w:val="single" w:sz="4" w:space="0" w:color="auto"/>
              <w:right w:val="single" w:sz="4" w:space="0" w:color="auto"/>
            </w:tcBorders>
            <w:shd w:val="clear" w:color="auto" w:fill="auto"/>
            <w:vAlign w:val="bottom"/>
          </w:tcPr>
          <w:p w:rsidR="00746845" w:rsidRPr="000F45F3" w:rsidRDefault="00746845" w:rsidP="00746845">
            <w:pPr>
              <w:spacing w:after="0" w:line="240" w:lineRule="auto"/>
              <w:rPr>
                <w:rFonts w:ascii="Times New Roman" w:eastAsia="Times New Roman" w:hAnsi="Times New Roman" w:cs="Times New Roman"/>
                <w:sz w:val="24"/>
                <w:szCs w:val="24"/>
                <w:lang w:eastAsia="ru-RU"/>
              </w:rPr>
            </w:pPr>
            <w:r w:rsidRPr="000F45F3">
              <w:rPr>
                <w:rFonts w:ascii="Times New Roman" w:hAnsi="Times New Roman" w:cs="Times New Roman"/>
                <w:sz w:val="24"/>
                <w:szCs w:val="24"/>
              </w:rPr>
              <w:t>ОАО «Теле2-Санкт-Петербург»</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1,51</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1,27</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1,94</w:t>
            </w:r>
          </w:p>
        </w:tc>
      </w:tr>
      <w:tr w:rsidR="00746845" w:rsidRPr="00DE2929" w:rsidTr="00CC7E4D">
        <w:trPr>
          <w:gridAfter w:val="3"/>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746845" w:rsidRPr="00DE2929" w:rsidRDefault="00746845" w:rsidP="007468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3701" w:type="dxa"/>
            <w:tcBorders>
              <w:top w:val="nil"/>
              <w:left w:val="nil"/>
              <w:bottom w:val="single" w:sz="4" w:space="0" w:color="auto"/>
              <w:right w:val="single" w:sz="4" w:space="0" w:color="auto"/>
            </w:tcBorders>
            <w:shd w:val="clear" w:color="auto" w:fill="auto"/>
            <w:vAlign w:val="bottom"/>
          </w:tcPr>
          <w:p w:rsidR="00746845" w:rsidRDefault="00746845" w:rsidP="007468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«МСН Телеком»</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0,00</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0,00</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0,00</w:t>
            </w:r>
          </w:p>
        </w:tc>
      </w:tr>
      <w:tr w:rsidR="00746845" w:rsidRPr="00DE2929" w:rsidTr="00CC7E4D">
        <w:trPr>
          <w:gridAfter w:val="3"/>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746845" w:rsidRPr="00DE2929" w:rsidRDefault="00746845" w:rsidP="007468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3701" w:type="dxa"/>
            <w:tcBorders>
              <w:top w:val="nil"/>
              <w:left w:val="nil"/>
              <w:bottom w:val="single" w:sz="4" w:space="0" w:color="auto"/>
              <w:right w:val="single" w:sz="4" w:space="0" w:color="auto"/>
            </w:tcBorders>
            <w:shd w:val="clear" w:color="auto" w:fill="auto"/>
            <w:vAlign w:val="bottom"/>
          </w:tcPr>
          <w:p w:rsidR="00746845" w:rsidRPr="00713FB3" w:rsidRDefault="00746845" w:rsidP="007468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ООО «Тинькофф </w:t>
            </w:r>
            <w:proofErr w:type="spellStart"/>
            <w:r>
              <w:rPr>
                <w:rFonts w:ascii="Times New Roman" w:eastAsia="Times New Roman" w:hAnsi="Times New Roman" w:cs="Times New Roman"/>
                <w:sz w:val="24"/>
                <w:szCs w:val="24"/>
                <w:lang w:eastAsia="ru-RU"/>
              </w:rPr>
              <w:t>Мобайл</w:t>
            </w:r>
            <w:proofErr w:type="spellEnd"/>
            <w:r>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0,04</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0,04</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0,05</w:t>
            </w:r>
          </w:p>
        </w:tc>
      </w:tr>
      <w:tr w:rsidR="00746845" w:rsidRPr="00DE2929" w:rsidTr="00CC7E4D">
        <w:trPr>
          <w:gridAfter w:val="3"/>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746845" w:rsidRPr="00DE2929" w:rsidRDefault="00746845" w:rsidP="0074684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3701" w:type="dxa"/>
            <w:tcBorders>
              <w:top w:val="nil"/>
              <w:left w:val="nil"/>
              <w:bottom w:val="single" w:sz="4" w:space="0" w:color="auto"/>
              <w:right w:val="single" w:sz="4" w:space="0" w:color="auto"/>
            </w:tcBorders>
            <w:shd w:val="clear" w:color="auto" w:fill="auto"/>
            <w:vAlign w:val="bottom"/>
          </w:tcPr>
          <w:p w:rsidR="00746845" w:rsidRPr="00713FB3" w:rsidRDefault="00746845" w:rsidP="007468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АО «</w:t>
            </w:r>
            <w:proofErr w:type="spellStart"/>
            <w:r>
              <w:rPr>
                <w:rFonts w:ascii="Times New Roman" w:eastAsia="Times New Roman" w:hAnsi="Times New Roman" w:cs="Times New Roman"/>
                <w:sz w:val="24"/>
                <w:szCs w:val="24"/>
                <w:lang w:eastAsia="ru-RU"/>
              </w:rPr>
              <w:t>Вайнах</w:t>
            </w:r>
            <w:proofErr w:type="spellEnd"/>
            <w:r>
              <w:rPr>
                <w:rFonts w:ascii="Times New Roman" w:eastAsia="Times New Roman" w:hAnsi="Times New Roman" w:cs="Times New Roman"/>
                <w:sz w:val="24"/>
                <w:szCs w:val="24"/>
                <w:lang w:eastAsia="ru-RU"/>
              </w:rPr>
              <w:t xml:space="preserve"> Телеком»</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0,00</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0,01</w:t>
            </w:r>
          </w:p>
        </w:tc>
        <w:tc>
          <w:tcPr>
            <w:tcW w:w="1701" w:type="dxa"/>
            <w:tcBorders>
              <w:top w:val="nil"/>
              <w:left w:val="nil"/>
              <w:bottom w:val="single" w:sz="4" w:space="0" w:color="auto"/>
              <w:right w:val="single" w:sz="4" w:space="0" w:color="auto"/>
            </w:tcBorders>
            <w:shd w:val="clear" w:color="auto" w:fill="auto"/>
            <w:vAlign w:val="center"/>
          </w:tcPr>
          <w:p w:rsidR="00746845" w:rsidRPr="00556F25" w:rsidRDefault="00746845" w:rsidP="00CC7E4D">
            <w:pPr>
              <w:jc w:val="center"/>
              <w:rPr>
                <w:rFonts w:ascii="Times New Roman" w:hAnsi="Times New Roman" w:cs="Times New Roman"/>
                <w:color w:val="FFFFFF" w:themeColor="background1"/>
                <w:sz w:val="24"/>
                <w:szCs w:val="24"/>
              </w:rPr>
            </w:pPr>
            <w:r w:rsidRPr="00556F25">
              <w:rPr>
                <w:rFonts w:ascii="Times New Roman" w:hAnsi="Times New Roman" w:cs="Times New Roman"/>
                <w:color w:val="FFFFFF" w:themeColor="background1"/>
                <w:sz w:val="24"/>
                <w:szCs w:val="24"/>
              </w:rPr>
              <w:t>0,19</w:t>
            </w:r>
          </w:p>
        </w:tc>
      </w:tr>
      <w:tr w:rsidR="00224C33" w:rsidRPr="00473C08" w:rsidTr="00905F65">
        <w:trPr>
          <w:gridAfter w:val="3"/>
          <w:wAfter w:w="5528" w:type="dxa"/>
          <w:trHeight w:val="315"/>
        </w:trPr>
        <w:tc>
          <w:tcPr>
            <w:tcW w:w="4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C33" w:rsidRPr="00473C08" w:rsidRDefault="00224C33" w:rsidP="00224C33">
            <w:pPr>
              <w:spacing w:after="0" w:line="240" w:lineRule="auto"/>
              <w:jc w:val="center"/>
              <w:rPr>
                <w:rFonts w:ascii="Times New Roman" w:eastAsia="Times New Roman" w:hAnsi="Times New Roman" w:cs="Times New Roman"/>
                <w:b/>
                <w:bCs/>
                <w:color w:val="000000"/>
                <w:sz w:val="24"/>
                <w:szCs w:val="24"/>
                <w:lang w:eastAsia="ru-RU"/>
              </w:rPr>
            </w:pPr>
            <w:r w:rsidRPr="00473C08">
              <w:rPr>
                <w:rFonts w:ascii="Times New Roman" w:eastAsia="Times New Roman" w:hAnsi="Times New Roman" w:cs="Times New Roman"/>
                <w:b/>
                <w:bCs/>
                <w:color w:val="000000"/>
                <w:sz w:val="24"/>
                <w:szCs w:val="24"/>
                <w:lang w:eastAsia="ru-RU"/>
              </w:rPr>
              <w:t>Итого</w:t>
            </w:r>
          </w:p>
        </w:tc>
        <w:tc>
          <w:tcPr>
            <w:tcW w:w="1701" w:type="dxa"/>
            <w:tcBorders>
              <w:top w:val="nil"/>
              <w:left w:val="nil"/>
              <w:bottom w:val="single" w:sz="4" w:space="0" w:color="auto"/>
              <w:right w:val="single" w:sz="4" w:space="0" w:color="auto"/>
            </w:tcBorders>
            <w:shd w:val="clear" w:color="auto" w:fill="auto"/>
            <w:noWrap/>
            <w:vAlign w:val="bottom"/>
          </w:tcPr>
          <w:p w:rsidR="00224C33" w:rsidRPr="00473C08" w:rsidRDefault="00224C33" w:rsidP="00224C3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vAlign w:val="bottom"/>
          </w:tcPr>
          <w:p w:rsidR="00224C33" w:rsidRPr="00473C08" w:rsidRDefault="000F45F3" w:rsidP="00224C3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vAlign w:val="bottom"/>
          </w:tcPr>
          <w:p w:rsidR="00224C33" w:rsidRPr="00473C08" w:rsidRDefault="00224C33" w:rsidP="00224C3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224C33" w:rsidRPr="00473C08" w:rsidTr="00905F65">
        <w:trPr>
          <w:gridAfter w:val="3"/>
          <w:wAfter w:w="5528" w:type="dxa"/>
          <w:trHeight w:val="315"/>
        </w:trPr>
        <w:tc>
          <w:tcPr>
            <w:tcW w:w="4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C33" w:rsidRPr="00473C08" w:rsidRDefault="00224C33" w:rsidP="00224C33">
            <w:pPr>
              <w:spacing w:after="0" w:line="240" w:lineRule="auto"/>
              <w:jc w:val="center"/>
              <w:rPr>
                <w:rFonts w:ascii="Times New Roman" w:eastAsia="Times New Roman" w:hAnsi="Times New Roman" w:cs="Times New Roman"/>
                <w:b/>
                <w:bCs/>
                <w:color w:val="000000"/>
                <w:sz w:val="24"/>
                <w:szCs w:val="24"/>
                <w:lang w:eastAsia="ru-RU"/>
              </w:rPr>
            </w:pPr>
            <w:r w:rsidRPr="00473C08">
              <w:rPr>
                <w:rFonts w:ascii="Times New Roman" w:eastAsia="Times New Roman" w:hAnsi="Times New Roman" w:cs="Times New Roman"/>
                <w:b/>
                <w:bCs/>
                <w:color w:val="000000"/>
                <w:sz w:val="24"/>
                <w:szCs w:val="24"/>
                <w:lang w:eastAsia="ru-RU"/>
              </w:rPr>
              <w:t>CR4</w:t>
            </w:r>
          </w:p>
        </w:tc>
        <w:tc>
          <w:tcPr>
            <w:tcW w:w="1701" w:type="dxa"/>
            <w:tcBorders>
              <w:top w:val="nil"/>
              <w:left w:val="nil"/>
              <w:bottom w:val="single" w:sz="4" w:space="0" w:color="auto"/>
              <w:right w:val="single" w:sz="4" w:space="0" w:color="auto"/>
            </w:tcBorders>
            <w:shd w:val="clear" w:color="auto" w:fill="auto"/>
            <w:noWrap/>
            <w:vAlign w:val="bottom"/>
          </w:tcPr>
          <w:p w:rsidR="00224C33" w:rsidRPr="00473C08" w:rsidRDefault="00CC7E4D" w:rsidP="00224C3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w:t>
            </w:r>
          </w:p>
        </w:tc>
        <w:tc>
          <w:tcPr>
            <w:tcW w:w="1701" w:type="dxa"/>
            <w:tcBorders>
              <w:top w:val="nil"/>
              <w:left w:val="nil"/>
              <w:bottom w:val="single" w:sz="4" w:space="0" w:color="auto"/>
              <w:right w:val="single" w:sz="4" w:space="0" w:color="auto"/>
            </w:tcBorders>
            <w:shd w:val="clear" w:color="auto" w:fill="auto"/>
            <w:vAlign w:val="bottom"/>
          </w:tcPr>
          <w:p w:rsidR="00224C33" w:rsidRPr="00473C08" w:rsidRDefault="00CC7E4D" w:rsidP="00224C3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w:t>
            </w:r>
          </w:p>
        </w:tc>
        <w:tc>
          <w:tcPr>
            <w:tcW w:w="1701" w:type="dxa"/>
            <w:tcBorders>
              <w:top w:val="nil"/>
              <w:left w:val="nil"/>
              <w:bottom w:val="single" w:sz="4" w:space="0" w:color="auto"/>
              <w:right w:val="single" w:sz="4" w:space="0" w:color="auto"/>
            </w:tcBorders>
            <w:shd w:val="clear" w:color="auto" w:fill="auto"/>
            <w:vAlign w:val="bottom"/>
          </w:tcPr>
          <w:p w:rsidR="00224C33" w:rsidRPr="00473C08" w:rsidRDefault="00CC7E4D" w:rsidP="00224C3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w:t>
            </w:r>
          </w:p>
        </w:tc>
      </w:tr>
      <w:tr w:rsidR="00224C33" w:rsidRPr="00473C08" w:rsidTr="00905F65">
        <w:trPr>
          <w:gridAfter w:val="3"/>
          <w:wAfter w:w="5528" w:type="dxa"/>
          <w:trHeight w:val="315"/>
        </w:trPr>
        <w:tc>
          <w:tcPr>
            <w:tcW w:w="4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C33" w:rsidRPr="00473C08" w:rsidRDefault="00224C33" w:rsidP="00224C33">
            <w:pPr>
              <w:spacing w:after="0" w:line="240" w:lineRule="auto"/>
              <w:jc w:val="center"/>
              <w:rPr>
                <w:rFonts w:ascii="Times New Roman" w:eastAsia="Times New Roman" w:hAnsi="Times New Roman" w:cs="Times New Roman"/>
                <w:b/>
                <w:bCs/>
                <w:color w:val="000000"/>
                <w:sz w:val="24"/>
                <w:szCs w:val="24"/>
                <w:lang w:eastAsia="ru-RU"/>
              </w:rPr>
            </w:pPr>
            <w:r w:rsidRPr="00473C08">
              <w:rPr>
                <w:rFonts w:ascii="Times New Roman" w:eastAsia="Times New Roman" w:hAnsi="Times New Roman" w:cs="Times New Roman"/>
                <w:b/>
                <w:bCs/>
                <w:color w:val="000000"/>
                <w:sz w:val="24"/>
                <w:szCs w:val="24"/>
                <w:lang w:eastAsia="ru-RU"/>
              </w:rPr>
              <w:t>HHI</w:t>
            </w:r>
          </w:p>
        </w:tc>
        <w:tc>
          <w:tcPr>
            <w:tcW w:w="1701" w:type="dxa"/>
            <w:tcBorders>
              <w:top w:val="nil"/>
              <w:left w:val="nil"/>
              <w:bottom w:val="single" w:sz="4" w:space="0" w:color="auto"/>
              <w:right w:val="single" w:sz="4" w:space="0" w:color="auto"/>
            </w:tcBorders>
            <w:shd w:val="clear" w:color="auto" w:fill="auto"/>
            <w:noWrap/>
            <w:vAlign w:val="bottom"/>
          </w:tcPr>
          <w:p w:rsidR="00224C33" w:rsidRPr="00473C08" w:rsidRDefault="00CC7E4D" w:rsidP="00224C3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2394</w:t>
            </w:r>
          </w:p>
        </w:tc>
        <w:tc>
          <w:tcPr>
            <w:tcW w:w="1701" w:type="dxa"/>
            <w:tcBorders>
              <w:top w:val="nil"/>
              <w:left w:val="nil"/>
              <w:bottom w:val="single" w:sz="4" w:space="0" w:color="auto"/>
              <w:right w:val="single" w:sz="4" w:space="0" w:color="auto"/>
            </w:tcBorders>
            <w:shd w:val="clear" w:color="auto" w:fill="auto"/>
            <w:vAlign w:val="bottom"/>
          </w:tcPr>
          <w:p w:rsidR="00224C33" w:rsidRPr="00473C08" w:rsidRDefault="00CC7E4D" w:rsidP="00224C3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2301</w:t>
            </w:r>
          </w:p>
        </w:tc>
        <w:tc>
          <w:tcPr>
            <w:tcW w:w="1701" w:type="dxa"/>
            <w:tcBorders>
              <w:top w:val="nil"/>
              <w:left w:val="nil"/>
              <w:bottom w:val="single" w:sz="4" w:space="0" w:color="auto"/>
              <w:right w:val="single" w:sz="4" w:space="0" w:color="auto"/>
            </w:tcBorders>
            <w:shd w:val="clear" w:color="auto" w:fill="auto"/>
            <w:vAlign w:val="bottom"/>
          </w:tcPr>
          <w:p w:rsidR="00224C33" w:rsidRPr="00473C08" w:rsidRDefault="00CC7E4D" w:rsidP="00224C3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2210</w:t>
            </w:r>
          </w:p>
        </w:tc>
      </w:tr>
    </w:tbl>
    <w:p w:rsidR="00D31594" w:rsidRDefault="00D31594" w:rsidP="00D31594"/>
    <w:p w:rsidR="00D31594" w:rsidRDefault="00D31594" w:rsidP="00D3159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Совокупная доля </w:t>
      </w:r>
      <w:r w:rsidR="00A754AC">
        <w:rPr>
          <w:rFonts w:ascii="Times New Roman" w:hAnsi="Times New Roman" w:cs="Times New Roman"/>
          <w:sz w:val="28"/>
          <w:szCs w:val="28"/>
        </w:rPr>
        <w:t>операторов связи</w:t>
      </w:r>
      <w:r w:rsidR="00DF3E35">
        <w:rPr>
          <w:rFonts w:ascii="Times New Roman" w:hAnsi="Times New Roman" w:cs="Times New Roman"/>
          <w:sz w:val="28"/>
          <w:szCs w:val="28"/>
        </w:rPr>
        <w:t xml:space="preserve"> и их групп лиц </w:t>
      </w:r>
      <w:r>
        <w:rPr>
          <w:rFonts w:ascii="Times New Roman" w:hAnsi="Times New Roman" w:cs="Times New Roman"/>
          <w:sz w:val="28"/>
          <w:szCs w:val="28"/>
        </w:rPr>
        <w:t>на рынке услуг подвиж</w:t>
      </w:r>
      <w:r w:rsidR="00CC7E4D">
        <w:rPr>
          <w:rFonts w:ascii="Times New Roman" w:hAnsi="Times New Roman" w:cs="Times New Roman"/>
          <w:sz w:val="28"/>
          <w:szCs w:val="28"/>
        </w:rPr>
        <w:t>ной радиотелефонной связи в 2019</w:t>
      </w:r>
      <w:r>
        <w:rPr>
          <w:rFonts w:ascii="Times New Roman" w:hAnsi="Times New Roman" w:cs="Times New Roman"/>
          <w:sz w:val="28"/>
          <w:szCs w:val="28"/>
        </w:rPr>
        <w:t xml:space="preserve"> году следующая:</w:t>
      </w:r>
    </w:p>
    <w:p w:rsidR="00D31594" w:rsidRDefault="00D31594" w:rsidP="00D31594"/>
    <w:tbl>
      <w:tblPr>
        <w:tblStyle w:val="a6"/>
        <w:tblW w:w="9345" w:type="dxa"/>
        <w:tblLayout w:type="fixed"/>
        <w:tblLook w:val="04A0" w:firstRow="1" w:lastRow="0" w:firstColumn="1" w:lastColumn="0" w:noHBand="0" w:noVBand="1"/>
      </w:tblPr>
      <w:tblGrid>
        <w:gridCol w:w="666"/>
        <w:gridCol w:w="3695"/>
        <w:gridCol w:w="1283"/>
        <w:gridCol w:w="1850"/>
        <w:gridCol w:w="1851"/>
      </w:tblGrid>
      <w:tr w:rsidR="00D31594" w:rsidRPr="000B4BC2" w:rsidTr="00440104">
        <w:trPr>
          <w:trHeight w:val="630"/>
        </w:trPr>
        <w:tc>
          <w:tcPr>
            <w:tcW w:w="666" w:type="dxa"/>
            <w:vMerge w:val="restart"/>
            <w:vAlign w:val="center"/>
            <w:hideMark/>
          </w:tcPr>
          <w:p w:rsidR="00D31594" w:rsidRPr="00DE2929" w:rsidRDefault="00D31594" w:rsidP="00905F65">
            <w:pPr>
              <w:jc w:val="center"/>
              <w:rPr>
                <w:rFonts w:ascii="Times New Roman" w:eastAsia="Times New Roman" w:hAnsi="Times New Roman" w:cs="Times New Roman"/>
              </w:rPr>
            </w:pPr>
            <w:r w:rsidRPr="00DE2929">
              <w:rPr>
                <w:rFonts w:ascii="Times New Roman" w:eastAsia="Times New Roman" w:hAnsi="Times New Roman" w:cs="Times New Roman"/>
              </w:rPr>
              <w:t>п/н</w:t>
            </w:r>
          </w:p>
        </w:tc>
        <w:tc>
          <w:tcPr>
            <w:tcW w:w="3695" w:type="dxa"/>
            <w:vMerge w:val="restart"/>
            <w:vAlign w:val="center"/>
            <w:hideMark/>
          </w:tcPr>
          <w:p w:rsidR="00D31594" w:rsidRPr="00DE2929" w:rsidRDefault="00D31594" w:rsidP="00905F65">
            <w:pPr>
              <w:jc w:val="center"/>
              <w:rPr>
                <w:rFonts w:ascii="Times New Roman" w:eastAsia="Times New Roman" w:hAnsi="Times New Roman" w:cs="Times New Roman"/>
              </w:rPr>
            </w:pPr>
            <w:r w:rsidRPr="00DE2929">
              <w:rPr>
                <w:rFonts w:ascii="Times New Roman" w:eastAsia="Times New Roman" w:hAnsi="Times New Roman" w:cs="Times New Roman"/>
              </w:rPr>
              <w:t>Наименование оператора связи</w:t>
            </w:r>
          </w:p>
        </w:tc>
        <w:tc>
          <w:tcPr>
            <w:tcW w:w="4984" w:type="dxa"/>
            <w:gridSpan w:val="3"/>
            <w:vAlign w:val="center"/>
            <w:hideMark/>
          </w:tcPr>
          <w:p w:rsidR="00D31594" w:rsidRPr="000B4BC2" w:rsidRDefault="00D31594" w:rsidP="00905F65">
            <w:pPr>
              <w:jc w:val="center"/>
              <w:rPr>
                <w:rFonts w:ascii="Times New Roman" w:eastAsia="Times New Roman" w:hAnsi="Times New Roman" w:cs="Times New Roman"/>
              </w:rPr>
            </w:pPr>
            <w:r w:rsidRPr="00473C08">
              <w:rPr>
                <w:rFonts w:ascii="Times New Roman" w:eastAsia="Times New Roman" w:hAnsi="Times New Roman" w:cs="Times New Roman"/>
                <w:color w:val="000000"/>
              </w:rPr>
              <w:t>Доли операторов</w:t>
            </w:r>
            <w:r>
              <w:rPr>
                <w:rFonts w:ascii="Times New Roman" w:eastAsia="Times New Roman" w:hAnsi="Times New Roman" w:cs="Times New Roman"/>
                <w:color w:val="000000"/>
              </w:rPr>
              <w:t xml:space="preserve"> по объемам оказанных услуг, в </w:t>
            </w:r>
            <w:r w:rsidRPr="000B4BC2">
              <w:rPr>
                <w:rFonts w:ascii="Times New Roman" w:eastAsia="Times New Roman" w:hAnsi="Times New Roman" w:cs="Times New Roman"/>
                <w:color w:val="000000"/>
              </w:rPr>
              <w:t>%</w:t>
            </w:r>
          </w:p>
        </w:tc>
      </w:tr>
      <w:tr w:rsidR="00D31594" w:rsidRPr="00BE6019" w:rsidTr="00440104">
        <w:trPr>
          <w:trHeight w:val="315"/>
        </w:trPr>
        <w:tc>
          <w:tcPr>
            <w:tcW w:w="666" w:type="dxa"/>
            <w:vMerge/>
            <w:vAlign w:val="center"/>
          </w:tcPr>
          <w:p w:rsidR="00D31594" w:rsidRDefault="00D31594" w:rsidP="00905F65">
            <w:pPr>
              <w:jc w:val="center"/>
              <w:rPr>
                <w:rFonts w:ascii="Times New Roman" w:eastAsia="Times New Roman" w:hAnsi="Times New Roman" w:cs="Times New Roman"/>
                <w:color w:val="000000"/>
              </w:rPr>
            </w:pPr>
          </w:p>
        </w:tc>
        <w:tc>
          <w:tcPr>
            <w:tcW w:w="3695" w:type="dxa"/>
            <w:vMerge/>
            <w:vAlign w:val="center"/>
          </w:tcPr>
          <w:p w:rsidR="00D31594" w:rsidRDefault="00D31594" w:rsidP="00905F65">
            <w:pPr>
              <w:jc w:val="center"/>
              <w:rPr>
                <w:rFonts w:ascii="Times New Roman" w:eastAsia="Times New Roman" w:hAnsi="Times New Roman" w:cs="Times New Roman"/>
                <w:b/>
                <w:color w:val="000000"/>
              </w:rPr>
            </w:pPr>
          </w:p>
        </w:tc>
        <w:tc>
          <w:tcPr>
            <w:tcW w:w="1283" w:type="dxa"/>
            <w:vAlign w:val="center"/>
          </w:tcPr>
          <w:p w:rsidR="00D31594" w:rsidRPr="00BE6019" w:rsidRDefault="00D31594" w:rsidP="00905F6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Голос</w:t>
            </w:r>
          </w:p>
        </w:tc>
        <w:tc>
          <w:tcPr>
            <w:tcW w:w="1850" w:type="dxa"/>
            <w:vAlign w:val="center"/>
          </w:tcPr>
          <w:p w:rsidR="00D31594" w:rsidRPr="00BE6019" w:rsidRDefault="00D31594" w:rsidP="00905F6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СМС</w:t>
            </w:r>
          </w:p>
        </w:tc>
        <w:tc>
          <w:tcPr>
            <w:tcW w:w="1851" w:type="dxa"/>
            <w:vAlign w:val="center"/>
          </w:tcPr>
          <w:p w:rsidR="00D31594" w:rsidRPr="00BE6019" w:rsidRDefault="00D31594" w:rsidP="00905F6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Передача данных</w:t>
            </w:r>
          </w:p>
        </w:tc>
      </w:tr>
      <w:tr w:rsidR="00CC7E4D" w:rsidRPr="00BE6019" w:rsidTr="00556F25">
        <w:trPr>
          <w:trHeight w:val="315"/>
        </w:trPr>
        <w:tc>
          <w:tcPr>
            <w:tcW w:w="666" w:type="dxa"/>
            <w:vAlign w:val="center"/>
          </w:tcPr>
          <w:p w:rsidR="00CC7E4D" w:rsidRPr="00440104" w:rsidRDefault="00CC7E4D" w:rsidP="00CC7E4D">
            <w:pPr>
              <w:jc w:val="center"/>
              <w:rPr>
                <w:rFonts w:ascii="Times New Roman" w:eastAsia="Times New Roman" w:hAnsi="Times New Roman" w:cs="Times New Roman"/>
                <w:color w:val="000000"/>
              </w:rPr>
            </w:pPr>
            <w:r w:rsidRPr="00440104">
              <w:rPr>
                <w:rFonts w:ascii="Times New Roman" w:eastAsia="Times New Roman" w:hAnsi="Times New Roman" w:cs="Times New Roman"/>
                <w:color w:val="000000"/>
              </w:rPr>
              <w:t>1</w:t>
            </w:r>
          </w:p>
        </w:tc>
        <w:tc>
          <w:tcPr>
            <w:tcW w:w="3695" w:type="dxa"/>
            <w:vAlign w:val="bottom"/>
          </w:tcPr>
          <w:p w:rsidR="00CC7E4D" w:rsidRPr="00224C33" w:rsidRDefault="00CC7E4D" w:rsidP="00CC7E4D">
            <w:pPr>
              <w:rPr>
                <w:rFonts w:ascii="Times New Roman" w:eastAsia="Times New Roman" w:hAnsi="Times New Roman" w:cs="Times New Roman"/>
                <w:b/>
                <w:color w:val="000000"/>
              </w:rPr>
            </w:pPr>
            <w:r w:rsidRPr="00224C33">
              <w:rPr>
                <w:rFonts w:ascii="Times New Roman" w:eastAsia="Times New Roman" w:hAnsi="Times New Roman" w:cs="Times New Roman"/>
                <w:b/>
                <w:color w:val="000000"/>
              </w:rPr>
              <w:t>ПАО «ВымпелКом»</w:t>
            </w:r>
          </w:p>
        </w:tc>
        <w:tc>
          <w:tcPr>
            <w:tcW w:w="1283" w:type="dxa"/>
            <w:shd w:val="clear" w:color="auto" w:fill="auto"/>
            <w:vAlign w:val="center"/>
          </w:tcPr>
          <w:p w:rsidR="00CC7E4D" w:rsidRPr="00556F25" w:rsidRDefault="00CC7E4D" w:rsidP="00CC7E4D">
            <w:pPr>
              <w:jc w:val="center"/>
              <w:rPr>
                <w:rFonts w:ascii="Times New Roman" w:eastAsia="Times New Roman" w:hAnsi="Times New Roman" w:cs="Times New Roman"/>
                <w:b/>
                <w:color w:val="FFFFFF" w:themeColor="background1"/>
              </w:rPr>
            </w:pPr>
            <w:r w:rsidRPr="00556F25">
              <w:rPr>
                <w:rFonts w:ascii="Times New Roman" w:eastAsia="Times New Roman" w:hAnsi="Times New Roman" w:cs="Times New Roman"/>
                <w:b/>
                <w:color w:val="FFFFFF" w:themeColor="background1"/>
              </w:rPr>
              <w:t>20</w:t>
            </w:r>
          </w:p>
        </w:tc>
        <w:tc>
          <w:tcPr>
            <w:tcW w:w="1850" w:type="dxa"/>
            <w:shd w:val="clear" w:color="auto" w:fill="auto"/>
            <w:vAlign w:val="center"/>
          </w:tcPr>
          <w:p w:rsidR="00CC7E4D" w:rsidRPr="00556F25" w:rsidRDefault="00CC7E4D" w:rsidP="00CC7E4D">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23</w:t>
            </w:r>
          </w:p>
        </w:tc>
        <w:tc>
          <w:tcPr>
            <w:tcW w:w="1851" w:type="dxa"/>
            <w:shd w:val="clear" w:color="auto" w:fill="auto"/>
            <w:vAlign w:val="center"/>
          </w:tcPr>
          <w:p w:rsidR="00CC7E4D" w:rsidRPr="00556F25" w:rsidRDefault="00CC7E4D" w:rsidP="00CC7E4D">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17</w:t>
            </w:r>
          </w:p>
        </w:tc>
      </w:tr>
      <w:tr w:rsidR="00CC7E4D" w:rsidTr="00556F25">
        <w:trPr>
          <w:trHeight w:val="315"/>
        </w:trPr>
        <w:tc>
          <w:tcPr>
            <w:tcW w:w="666" w:type="dxa"/>
            <w:vAlign w:val="center"/>
          </w:tcPr>
          <w:p w:rsidR="00CC7E4D" w:rsidRPr="00DE2929" w:rsidRDefault="00CC7E4D" w:rsidP="00CC7E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w:t>
            </w:r>
          </w:p>
        </w:tc>
        <w:tc>
          <w:tcPr>
            <w:tcW w:w="3695" w:type="dxa"/>
            <w:vAlign w:val="bottom"/>
          </w:tcPr>
          <w:p w:rsidR="00CC7E4D" w:rsidRPr="00224C33" w:rsidRDefault="00CC7E4D" w:rsidP="00CC7E4D">
            <w:pPr>
              <w:rPr>
                <w:rFonts w:ascii="Times New Roman" w:eastAsia="Times New Roman" w:hAnsi="Times New Roman" w:cs="Times New Roman"/>
                <w:b/>
                <w:color w:val="000000"/>
              </w:rPr>
            </w:pPr>
            <w:r w:rsidRPr="00224C33">
              <w:rPr>
                <w:rFonts w:ascii="Times New Roman" w:eastAsia="Times New Roman" w:hAnsi="Times New Roman" w:cs="Times New Roman"/>
                <w:b/>
                <w:color w:val="000000"/>
              </w:rPr>
              <w:t>ПАО «МТС»</w:t>
            </w:r>
          </w:p>
        </w:tc>
        <w:tc>
          <w:tcPr>
            <w:tcW w:w="1283" w:type="dxa"/>
            <w:shd w:val="clear" w:color="auto" w:fill="auto"/>
            <w:vAlign w:val="center"/>
          </w:tcPr>
          <w:p w:rsidR="00CC7E4D" w:rsidRPr="00556F25" w:rsidRDefault="00CC7E4D" w:rsidP="00CC7E4D">
            <w:pPr>
              <w:jc w:val="center"/>
              <w:rPr>
                <w:rFonts w:ascii="Times New Roman" w:eastAsia="Times New Roman" w:hAnsi="Times New Roman" w:cs="Times New Roman"/>
                <w:b/>
                <w:color w:val="FFFFFF" w:themeColor="background1"/>
              </w:rPr>
            </w:pPr>
            <w:r w:rsidRPr="00556F25">
              <w:rPr>
                <w:rFonts w:ascii="Times New Roman" w:eastAsia="Times New Roman" w:hAnsi="Times New Roman" w:cs="Times New Roman"/>
                <w:b/>
                <w:color w:val="FFFFFF" w:themeColor="background1"/>
              </w:rPr>
              <w:t>32,26</w:t>
            </w:r>
          </w:p>
        </w:tc>
        <w:tc>
          <w:tcPr>
            <w:tcW w:w="1850" w:type="dxa"/>
            <w:shd w:val="clear" w:color="auto" w:fill="auto"/>
            <w:vAlign w:val="center"/>
          </w:tcPr>
          <w:p w:rsidR="00CC7E4D" w:rsidRPr="00556F25" w:rsidRDefault="00CC7E4D" w:rsidP="00CC7E4D">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31,02</w:t>
            </w:r>
          </w:p>
        </w:tc>
        <w:tc>
          <w:tcPr>
            <w:tcW w:w="1851" w:type="dxa"/>
            <w:shd w:val="clear" w:color="auto" w:fill="auto"/>
            <w:vAlign w:val="center"/>
          </w:tcPr>
          <w:p w:rsidR="00CC7E4D" w:rsidRPr="00556F25" w:rsidRDefault="00CC7E4D" w:rsidP="00CC7E4D">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36,15</w:t>
            </w:r>
          </w:p>
        </w:tc>
      </w:tr>
      <w:tr w:rsidR="00CC7E4D" w:rsidRPr="00DE2929" w:rsidTr="00556F25">
        <w:trPr>
          <w:trHeight w:val="315"/>
        </w:trPr>
        <w:tc>
          <w:tcPr>
            <w:tcW w:w="666" w:type="dxa"/>
            <w:vAlign w:val="center"/>
          </w:tcPr>
          <w:p w:rsidR="00CC7E4D" w:rsidRPr="00DE2929" w:rsidRDefault="00CC7E4D" w:rsidP="00CC7E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695" w:type="dxa"/>
            <w:vAlign w:val="bottom"/>
          </w:tcPr>
          <w:p w:rsidR="00CC7E4D" w:rsidRPr="00224C33" w:rsidRDefault="00CC7E4D" w:rsidP="00CC7E4D">
            <w:pPr>
              <w:rPr>
                <w:rFonts w:ascii="Times New Roman" w:eastAsia="Times New Roman" w:hAnsi="Times New Roman" w:cs="Times New Roman"/>
                <w:b/>
              </w:rPr>
            </w:pPr>
            <w:r w:rsidRPr="00224C33">
              <w:rPr>
                <w:rFonts w:ascii="Times New Roman" w:eastAsia="Times New Roman" w:hAnsi="Times New Roman" w:cs="Times New Roman"/>
                <w:b/>
              </w:rPr>
              <w:t>ПАО «МегаФон»</w:t>
            </w:r>
          </w:p>
        </w:tc>
        <w:tc>
          <w:tcPr>
            <w:tcW w:w="1283" w:type="dxa"/>
            <w:shd w:val="clear" w:color="auto" w:fill="auto"/>
            <w:vAlign w:val="center"/>
          </w:tcPr>
          <w:p w:rsidR="00CC7E4D" w:rsidRPr="00556F25" w:rsidRDefault="00CC7E4D" w:rsidP="00CC7E4D">
            <w:pPr>
              <w:jc w:val="center"/>
              <w:rPr>
                <w:rFonts w:ascii="Times New Roman" w:eastAsia="Times New Roman" w:hAnsi="Times New Roman" w:cs="Times New Roman"/>
                <w:b/>
                <w:color w:val="FFFFFF" w:themeColor="background1"/>
              </w:rPr>
            </w:pPr>
            <w:r w:rsidRPr="00556F25">
              <w:rPr>
                <w:rFonts w:ascii="Times New Roman" w:eastAsia="Times New Roman" w:hAnsi="Times New Roman" w:cs="Times New Roman"/>
                <w:b/>
                <w:color w:val="FFFFFF" w:themeColor="background1"/>
              </w:rPr>
              <w:t>24,72</w:t>
            </w:r>
          </w:p>
        </w:tc>
        <w:tc>
          <w:tcPr>
            <w:tcW w:w="1850" w:type="dxa"/>
            <w:shd w:val="clear" w:color="auto" w:fill="auto"/>
            <w:vAlign w:val="center"/>
          </w:tcPr>
          <w:p w:rsidR="00CC7E4D" w:rsidRPr="00556F25" w:rsidRDefault="00CC7E4D" w:rsidP="00CC7E4D">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28,06</w:t>
            </w:r>
          </w:p>
        </w:tc>
        <w:tc>
          <w:tcPr>
            <w:tcW w:w="1851" w:type="dxa"/>
            <w:shd w:val="clear" w:color="auto" w:fill="auto"/>
            <w:vAlign w:val="center"/>
          </w:tcPr>
          <w:p w:rsidR="00CC7E4D" w:rsidRPr="00556F25" w:rsidRDefault="00CC7E4D" w:rsidP="00CC7E4D">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21,91</w:t>
            </w:r>
          </w:p>
        </w:tc>
      </w:tr>
      <w:tr w:rsidR="006F45E1" w:rsidTr="00556F25">
        <w:trPr>
          <w:trHeight w:val="315"/>
        </w:trPr>
        <w:tc>
          <w:tcPr>
            <w:tcW w:w="666" w:type="dxa"/>
            <w:vAlign w:val="center"/>
          </w:tcPr>
          <w:p w:rsidR="006F45E1" w:rsidRPr="00DE2929" w:rsidRDefault="006F45E1" w:rsidP="006F45E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695" w:type="dxa"/>
            <w:vAlign w:val="bottom"/>
          </w:tcPr>
          <w:p w:rsidR="006F45E1" w:rsidRPr="00224C33" w:rsidRDefault="006F45E1" w:rsidP="006F45E1">
            <w:pPr>
              <w:rPr>
                <w:rFonts w:ascii="Times New Roman" w:eastAsia="Times New Roman" w:hAnsi="Times New Roman" w:cs="Times New Roman"/>
                <w:b/>
                <w:color w:val="000000"/>
              </w:rPr>
            </w:pPr>
            <w:r w:rsidRPr="00224C33">
              <w:rPr>
                <w:rFonts w:ascii="Times New Roman" w:eastAsia="Times New Roman" w:hAnsi="Times New Roman" w:cs="Times New Roman"/>
                <w:b/>
                <w:color w:val="000000"/>
              </w:rPr>
              <w:t xml:space="preserve">ООО «Т2 </w:t>
            </w:r>
            <w:proofErr w:type="spellStart"/>
            <w:r w:rsidRPr="00224C33">
              <w:rPr>
                <w:rFonts w:ascii="Times New Roman" w:eastAsia="Times New Roman" w:hAnsi="Times New Roman" w:cs="Times New Roman"/>
                <w:b/>
                <w:color w:val="000000"/>
              </w:rPr>
              <w:t>Мобайл</w:t>
            </w:r>
            <w:proofErr w:type="spellEnd"/>
            <w:r w:rsidRPr="00224C33">
              <w:rPr>
                <w:rFonts w:ascii="Times New Roman" w:eastAsia="Times New Roman" w:hAnsi="Times New Roman" w:cs="Times New Roman"/>
                <w:b/>
                <w:color w:val="000000"/>
              </w:rPr>
              <w:t>»</w:t>
            </w:r>
          </w:p>
        </w:tc>
        <w:tc>
          <w:tcPr>
            <w:tcW w:w="1283" w:type="dxa"/>
            <w:shd w:val="clear" w:color="auto" w:fill="auto"/>
            <w:vAlign w:val="center"/>
          </w:tcPr>
          <w:p w:rsidR="006F45E1" w:rsidRPr="00556F25" w:rsidRDefault="006F45E1" w:rsidP="006F45E1">
            <w:pPr>
              <w:jc w:val="center"/>
              <w:rPr>
                <w:rFonts w:ascii="Times New Roman" w:eastAsia="Times New Roman" w:hAnsi="Times New Roman" w:cs="Times New Roman"/>
                <w:b/>
                <w:color w:val="FFFFFF" w:themeColor="background1"/>
              </w:rPr>
            </w:pPr>
            <w:r w:rsidRPr="00556F25">
              <w:rPr>
                <w:rFonts w:ascii="Times New Roman" w:eastAsia="Times New Roman" w:hAnsi="Times New Roman" w:cs="Times New Roman"/>
                <w:b/>
                <w:color w:val="FFFFFF" w:themeColor="background1"/>
              </w:rPr>
              <w:t>22,66</w:t>
            </w:r>
          </w:p>
        </w:tc>
        <w:tc>
          <w:tcPr>
            <w:tcW w:w="1850"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16,33</w:t>
            </w:r>
          </w:p>
        </w:tc>
        <w:tc>
          <w:tcPr>
            <w:tcW w:w="1851"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22,18</w:t>
            </w:r>
          </w:p>
        </w:tc>
      </w:tr>
      <w:tr w:rsidR="006F45E1" w:rsidRPr="00DE2929" w:rsidTr="00556F25">
        <w:trPr>
          <w:trHeight w:val="315"/>
        </w:trPr>
        <w:tc>
          <w:tcPr>
            <w:tcW w:w="666" w:type="dxa"/>
          </w:tcPr>
          <w:p w:rsidR="006F45E1" w:rsidRPr="00DE2929" w:rsidRDefault="006F45E1" w:rsidP="006F45E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695" w:type="dxa"/>
            <w:vAlign w:val="bottom"/>
          </w:tcPr>
          <w:p w:rsidR="006F45E1" w:rsidRDefault="006F45E1" w:rsidP="006F45E1">
            <w:pPr>
              <w:rPr>
                <w:rFonts w:ascii="Times New Roman" w:eastAsia="Times New Roman" w:hAnsi="Times New Roman" w:cs="Times New Roman"/>
              </w:rPr>
            </w:pPr>
            <w:r>
              <w:rPr>
                <w:rFonts w:ascii="Times New Roman" w:eastAsia="Times New Roman" w:hAnsi="Times New Roman" w:cs="Times New Roman"/>
              </w:rPr>
              <w:t>ООО «Екатеринбург-2000»</w:t>
            </w:r>
          </w:p>
        </w:tc>
        <w:tc>
          <w:tcPr>
            <w:tcW w:w="1283" w:type="dxa"/>
            <w:shd w:val="clear" w:color="auto" w:fill="auto"/>
            <w:vAlign w:val="center"/>
          </w:tcPr>
          <w:p w:rsidR="006F45E1" w:rsidRPr="00556F25" w:rsidRDefault="006F45E1" w:rsidP="006F45E1">
            <w:pPr>
              <w:jc w:val="center"/>
              <w:rPr>
                <w:rFonts w:ascii="Times New Roman" w:eastAsia="Times New Roman" w:hAnsi="Times New Roman" w:cs="Times New Roman"/>
                <w:color w:val="FFFFFF" w:themeColor="background1"/>
              </w:rPr>
            </w:pPr>
            <w:r w:rsidRPr="00556F25">
              <w:rPr>
                <w:rFonts w:ascii="Times New Roman" w:eastAsia="Times New Roman" w:hAnsi="Times New Roman" w:cs="Times New Roman"/>
                <w:color w:val="FFFFFF" w:themeColor="background1"/>
              </w:rPr>
              <w:t>0,51</w:t>
            </w:r>
          </w:p>
        </w:tc>
        <w:tc>
          <w:tcPr>
            <w:tcW w:w="1850"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0,95</w:t>
            </w:r>
          </w:p>
        </w:tc>
        <w:tc>
          <w:tcPr>
            <w:tcW w:w="1851"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0,58</w:t>
            </w:r>
          </w:p>
        </w:tc>
      </w:tr>
      <w:tr w:rsidR="006F45E1" w:rsidRPr="00DE2929" w:rsidTr="00556F25">
        <w:trPr>
          <w:trHeight w:val="315"/>
        </w:trPr>
        <w:tc>
          <w:tcPr>
            <w:tcW w:w="666" w:type="dxa"/>
          </w:tcPr>
          <w:p w:rsidR="006F45E1" w:rsidRPr="00DE2929" w:rsidRDefault="006F45E1" w:rsidP="006F45E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3695" w:type="dxa"/>
            <w:vAlign w:val="bottom"/>
          </w:tcPr>
          <w:p w:rsidR="006F45E1" w:rsidRPr="00224C33" w:rsidRDefault="006F45E1" w:rsidP="006F45E1">
            <w:pPr>
              <w:rPr>
                <w:rFonts w:ascii="Times New Roman" w:eastAsia="Times New Roman" w:hAnsi="Times New Roman" w:cs="Times New Roman"/>
                <w:color w:val="000000"/>
              </w:rPr>
            </w:pPr>
            <w:r w:rsidRPr="00224C33">
              <w:rPr>
                <w:rFonts w:ascii="Times New Roman" w:eastAsia="Times New Roman" w:hAnsi="Times New Roman" w:cs="Times New Roman"/>
                <w:color w:val="000000"/>
              </w:rPr>
              <w:t>ООО «ТМТ»</w:t>
            </w:r>
          </w:p>
        </w:tc>
        <w:tc>
          <w:tcPr>
            <w:tcW w:w="1283" w:type="dxa"/>
            <w:shd w:val="clear" w:color="auto" w:fill="auto"/>
            <w:vAlign w:val="center"/>
          </w:tcPr>
          <w:p w:rsidR="006F45E1" w:rsidRPr="00556F25" w:rsidRDefault="006F45E1" w:rsidP="006F45E1">
            <w:pPr>
              <w:jc w:val="center"/>
              <w:rPr>
                <w:rFonts w:ascii="Times New Roman" w:eastAsia="Times New Roman" w:hAnsi="Times New Roman" w:cs="Times New Roman"/>
                <w:color w:val="FFFFFF" w:themeColor="background1"/>
              </w:rPr>
            </w:pPr>
            <w:r w:rsidRPr="00556F25">
              <w:rPr>
                <w:rFonts w:ascii="Times New Roman" w:eastAsia="Times New Roman" w:hAnsi="Times New Roman" w:cs="Times New Roman"/>
                <w:color w:val="FFFFFF" w:themeColor="background1"/>
              </w:rPr>
              <w:t>0,24</w:t>
            </w:r>
          </w:p>
        </w:tc>
        <w:tc>
          <w:tcPr>
            <w:tcW w:w="1850"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0,20</w:t>
            </w:r>
          </w:p>
        </w:tc>
        <w:tc>
          <w:tcPr>
            <w:tcW w:w="1851"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0,53</w:t>
            </w:r>
          </w:p>
        </w:tc>
      </w:tr>
      <w:tr w:rsidR="006F45E1" w:rsidTr="00556F25">
        <w:trPr>
          <w:trHeight w:val="315"/>
        </w:trPr>
        <w:tc>
          <w:tcPr>
            <w:tcW w:w="666" w:type="dxa"/>
          </w:tcPr>
          <w:p w:rsidR="006F45E1" w:rsidRDefault="006F45E1" w:rsidP="006F45E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3695" w:type="dxa"/>
            <w:vAlign w:val="bottom"/>
          </w:tcPr>
          <w:p w:rsidR="006F45E1" w:rsidRPr="00224C33" w:rsidRDefault="006F45E1" w:rsidP="006F45E1">
            <w:pPr>
              <w:rPr>
                <w:rFonts w:ascii="Times New Roman" w:eastAsia="Times New Roman" w:hAnsi="Times New Roman" w:cs="Times New Roman"/>
                <w:color w:val="000000"/>
              </w:rPr>
            </w:pPr>
            <w:r w:rsidRPr="00224C33">
              <w:rPr>
                <w:rFonts w:ascii="Times New Roman" w:eastAsia="Times New Roman" w:hAnsi="Times New Roman" w:cs="Times New Roman"/>
                <w:color w:val="000000"/>
              </w:rPr>
              <w:t>ПАО «Ростелеком»</w:t>
            </w:r>
          </w:p>
        </w:tc>
        <w:tc>
          <w:tcPr>
            <w:tcW w:w="1283"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0,28</w:t>
            </w:r>
          </w:p>
        </w:tc>
        <w:tc>
          <w:tcPr>
            <w:tcW w:w="1850"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1,87</w:t>
            </w:r>
          </w:p>
        </w:tc>
        <w:tc>
          <w:tcPr>
            <w:tcW w:w="1851"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0,87</w:t>
            </w:r>
          </w:p>
        </w:tc>
      </w:tr>
      <w:tr w:rsidR="006F45E1" w:rsidTr="00556F25">
        <w:trPr>
          <w:trHeight w:val="315"/>
        </w:trPr>
        <w:tc>
          <w:tcPr>
            <w:tcW w:w="666" w:type="dxa"/>
          </w:tcPr>
          <w:p w:rsidR="006F45E1" w:rsidRPr="00DE2929" w:rsidRDefault="006F45E1" w:rsidP="006F45E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3695" w:type="dxa"/>
            <w:vAlign w:val="bottom"/>
          </w:tcPr>
          <w:p w:rsidR="006F45E1" w:rsidRPr="00224C33" w:rsidRDefault="006F45E1" w:rsidP="006F45E1">
            <w:pPr>
              <w:rPr>
                <w:rFonts w:ascii="Times New Roman" w:eastAsia="Times New Roman" w:hAnsi="Times New Roman" w:cs="Times New Roman"/>
              </w:rPr>
            </w:pPr>
            <w:r w:rsidRPr="00224C33">
              <w:rPr>
                <w:rFonts w:ascii="Times New Roman" w:eastAsia="Times New Roman" w:hAnsi="Times New Roman" w:cs="Times New Roman"/>
              </w:rPr>
              <w:t>ООО «К-Телеком»</w:t>
            </w:r>
          </w:p>
        </w:tc>
        <w:tc>
          <w:tcPr>
            <w:tcW w:w="1283"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0,04</w:t>
            </w:r>
          </w:p>
        </w:tc>
        <w:tc>
          <w:tcPr>
            <w:tcW w:w="1850"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0,02</w:t>
            </w:r>
          </w:p>
        </w:tc>
        <w:tc>
          <w:tcPr>
            <w:tcW w:w="1851"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0,02</w:t>
            </w:r>
          </w:p>
        </w:tc>
      </w:tr>
      <w:tr w:rsidR="006F45E1" w:rsidTr="00556F25">
        <w:trPr>
          <w:trHeight w:val="315"/>
        </w:trPr>
        <w:tc>
          <w:tcPr>
            <w:tcW w:w="666" w:type="dxa"/>
          </w:tcPr>
          <w:p w:rsidR="006F45E1" w:rsidRPr="00DE2929" w:rsidRDefault="006F45E1" w:rsidP="006F45E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3695" w:type="dxa"/>
            <w:vAlign w:val="bottom"/>
          </w:tcPr>
          <w:p w:rsidR="006F45E1" w:rsidRPr="00224C33" w:rsidRDefault="006F45E1" w:rsidP="006F45E1">
            <w:pPr>
              <w:rPr>
                <w:rFonts w:ascii="Times New Roman" w:eastAsia="Times New Roman" w:hAnsi="Times New Roman" w:cs="Times New Roman"/>
                <w:color w:val="000000"/>
              </w:rPr>
            </w:pPr>
            <w:r w:rsidRPr="00224C33">
              <w:rPr>
                <w:rFonts w:ascii="Times New Roman" w:eastAsia="Times New Roman" w:hAnsi="Times New Roman" w:cs="Times New Roman"/>
                <w:color w:val="000000"/>
              </w:rPr>
              <w:t>ГУП РК «</w:t>
            </w:r>
            <w:proofErr w:type="spellStart"/>
            <w:r w:rsidRPr="00224C33">
              <w:rPr>
                <w:rFonts w:ascii="Times New Roman" w:eastAsia="Times New Roman" w:hAnsi="Times New Roman" w:cs="Times New Roman"/>
                <w:color w:val="000000"/>
              </w:rPr>
              <w:t>КрымТелеКом</w:t>
            </w:r>
            <w:proofErr w:type="spellEnd"/>
            <w:r w:rsidRPr="00224C33">
              <w:rPr>
                <w:rFonts w:ascii="Times New Roman" w:eastAsia="Times New Roman" w:hAnsi="Times New Roman" w:cs="Times New Roman"/>
                <w:color w:val="000000"/>
              </w:rPr>
              <w:t>»</w:t>
            </w:r>
          </w:p>
        </w:tc>
        <w:tc>
          <w:tcPr>
            <w:tcW w:w="1283"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0,00</w:t>
            </w:r>
          </w:p>
        </w:tc>
        <w:tc>
          <w:tcPr>
            <w:tcW w:w="1850"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0,00</w:t>
            </w:r>
          </w:p>
        </w:tc>
        <w:tc>
          <w:tcPr>
            <w:tcW w:w="1851"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0,00</w:t>
            </w:r>
          </w:p>
        </w:tc>
      </w:tr>
      <w:tr w:rsidR="006F45E1" w:rsidRPr="00DE2929" w:rsidTr="00556F25">
        <w:trPr>
          <w:trHeight w:val="315"/>
        </w:trPr>
        <w:tc>
          <w:tcPr>
            <w:tcW w:w="666" w:type="dxa"/>
          </w:tcPr>
          <w:p w:rsidR="006F45E1" w:rsidRPr="00DE2929" w:rsidRDefault="006F45E1" w:rsidP="006F45E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3695" w:type="dxa"/>
            <w:vAlign w:val="bottom"/>
          </w:tcPr>
          <w:p w:rsidR="006F45E1" w:rsidRDefault="006F45E1" w:rsidP="006F45E1">
            <w:pPr>
              <w:rPr>
                <w:rFonts w:ascii="Times New Roman" w:eastAsia="Times New Roman" w:hAnsi="Times New Roman" w:cs="Times New Roman"/>
                <w:color w:val="000000"/>
              </w:rPr>
            </w:pPr>
            <w:r>
              <w:rPr>
                <w:rFonts w:ascii="Times New Roman" w:eastAsia="Times New Roman" w:hAnsi="Times New Roman" w:cs="Times New Roman"/>
                <w:color w:val="000000"/>
              </w:rPr>
              <w:t>ООО «</w:t>
            </w:r>
            <w:proofErr w:type="spellStart"/>
            <w:r>
              <w:rPr>
                <w:rFonts w:ascii="Times New Roman" w:eastAsia="Times New Roman" w:hAnsi="Times New Roman" w:cs="Times New Roman"/>
                <w:color w:val="000000"/>
              </w:rPr>
              <w:t>СевтелекомСвязь</w:t>
            </w:r>
            <w:proofErr w:type="spellEnd"/>
            <w:r>
              <w:rPr>
                <w:rFonts w:ascii="Times New Roman" w:eastAsia="Times New Roman" w:hAnsi="Times New Roman" w:cs="Times New Roman"/>
                <w:color w:val="000000"/>
              </w:rPr>
              <w:t>»</w:t>
            </w:r>
          </w:p>
        </w:tc>
        <w:tc>
          <w:tcPr>
            <w:tcW w:w="1283"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0,00</w:t>
            </w:r>
          </w:p>
        </w:tc>
        <w:tc>
          <w:tcPr>
            <w:tcW w:w="1850"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0,00</w:t>
            </w:r>
          </w:p>
        </w:tc>
        <w:tc>
          <w:tcPr>
            <w:tcW w:w="1851"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0,01</w:t>
            </w:r>
          </w:p>
        </w:tc>
      </w:tr>
      <w:tr w:rsidR="006F45E1" w:rsidRPr="00DE2929" w:rsidTr="00556F25">
        <w:trPr>
          <w:trHeight w:val="315"/>
        </w:trPr>
        <w:tc>
          <w:tcPr>
            <w:tcW w:w="666" w:type="dxa"/>
          </w:tcPr>
          <w:p w:rsidR="006F45E1" w:rsidRPr="00DE2929" w:rsidRDefault="006F45E1" w:rsidP="006F45E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695" w:type="dxa"/>
            <w:vAlign w:val="bottom"/>
          </w:tcPr>
          <w:p w:rsidR="006F45E1" w:rsidRPr="00DE2929" w:rsidRDefault="006F45E1" w:rsidP="006F45E1">
            <w:pPr>
              <w:rPr>
                <w:rFonts w:ascii="Times New Roman" w:eastAsia="Times New Roman" w:hAnsi="Times New Roman" w:cs="Times New Roman"/>
              </w:rPr>
            </w:pPr>
            <w:r>
              <w:rPr>
                <w:rFonts w:ascii="Times New Roman" w:eastAsia="Times New Roman" w:hAnsi="Times New Roman" w:cs="Times New Roman"/>
              </w:rPr>
              <w:t>ООО «КТК-Телеком»</w:t>
            </w:r>
          </w:p>
        </w:tc>
        <w:tc>
          <w:tcPr>
            <w:tcW w:w="1283"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0,04</w:t>
            </w:r>
          </w:p>
        </w:tc>
        <w:tc>
          <w:tcPr>
            <w:tcW w:w="1850"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0,07</w:t>
            </w:r>
          </w:p>
        </w:tc>
        <w:tc>
          <w:tcPr>
            <w:tcW w:w="1851" w:type="dxa"/>
            <w:shd w:val="clear" w:color="auto" w:fill="auto"/>
            <w:vAlign w:val="center"/>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0,05</w:t>
            </w:r>
          </w:p>
        </w:tc>
      </w:tr>
      <w:tr w:rsidR="00CC7E4D" w:rsidTr="00556F25">
        <w:trPr>
          <w:trHeight w:val="315"/>
        </w:trPr>
        <w:tc>
          <w:tcPr>
            <w:tcW w:w="666" w:type="dxa"/>
          </w:tcPr>
          <w:p w:rsidR="00CC7E4D" w:rsidRDefault="00CC7E4D" w:rsidP="00CC7E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3695" w:type="dxa"/>
            <w:vAlign w:val="bottom"/>
          </w:tcPr>
          <w:p w:rsidR="00CC7E4D" w:rsidRDefault="00CC7E4D" w:rsidP="00CC7E4D">
            <w:pPr>
              <w:rPr>
                <w:rFonts w:ascii="Times New Roman" w:eastAsia="Times New Roman" w:hAnsi="Times New Roman" w:cs="Times New Roman"/>
              </w:rPr>
            </w:pPr>
            <w:r>
              <w:rPr>
                <w:rFonts w:ascii="Times New Roman" w:eastAsia="Times New Roman" w:hAnsi="Times New Roman" w:cs="Times New Roman"/>
              </w:rPr>
              <w:t>ООО «МСН Телеком»</w:t>
            </w:r>
          </w:p>
        </w:tc>
        <w:tc>
          <w:tcPr>
            <w:tcW w:w="1283" w:type="dxa"/>
            <w:shd w:val="clear" w:color="auto" w:fill="auto"/>
            <w:vAlign w:val="center"/>
          </w:tcPr>
          <w:p w:rsidR="00CC7E4D" w:rsidRPr="00556F25" w:rsidRDefault="00CC7E4D" w:rsidP="00CC7E4D">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0,00</w:t>
            </w:r>
          </w:p>
        </w:tc>
        <w:tc>
          <w:tcPr>
            <w:tcW w:w="1850" w:type="dxa"/>
            <w:shd w:val="clear" w:color="auto" w:fill="auto"/>
            <w:vAlign w:val="center"/>
          </w:tcPr>
          <w:p w:rsidR="00CC7E4D" w:rsidRPr="00556F25" w:rsidRDefault="00CC7E4D" w:rsidP="00CC7E4D">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0,00</w:t>
            </w:r>
          </w:p>
        </w:tc>
        <w:tc>
          <w:tcPr>
            <w:tcW w:w="1851" w:type="dxa"/>
            <w:shd w:val="clear" w:color="auto" w:fill="auto"/>
            <w:vAlign w:val="center"/>
          </w:tcPr>
          <w:p w:rsidR="00CC7E4D" w:rsidRPr="00556F25" w:rsidRDefault="00CC7E4D" w:rsidP="00CC7E4D">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0,00</w:t>
            </w:r>
          </w:p>
        </w:tc>
      </w:tr>
      <w:tr w:rsidR="00CC7E4D" w:rsidTr="00556F25">
        <w:trPr>
          <w:trHeight w:val="315"/>
        </w:trPr>
        <w:tc>
          <w:tcPr>
            <w:tcW w:w="666" w:type="dxa"/>
          </w:tcPr>
          <w:p w:rsidR="00CC7E4D" w:rsidRDefault="00CC7E4D" w:rsidP="00CC7E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3695" w:type="dxa"/>
            <w:vAlign w:val="bottom"/>
          </w:tcPr>
          <w:p w:rsidR="00CC7E4D" w:rsidRPr="00713FB3" w:rsidRDefault="00CC7E4D" w:rsidP="00CC7E4D">
            <w:pPr>
              <w:rPr>
                <w:rFonts w:ascii="Times New Roman" w:eastAsia="Times New Roman" w:hAnsi="Times New Roman" w:cs="Times New Roman"/>
              </w:rPr>
            </w:pPr>
            <w:r>
              <w:rPr>
                <w:rFonts w:ascii="Times New Roman" w:eastAsia="Times New Roman" w:hAnsi="Times New Roman" w:cs="Times New Roman"/>
              </w:rPr>
              <w:t xml:space="preserve">ООО «Тинькофф </w:t>
            </w:r>
            <w:proofErr w:type="spellStart"/>
            <w:r>
              <w:rPr>
                <w:rFonts w:ascii="Times New Roman" w:eastAsia="Times New Roman" w:hAnsi="Times New Roman" w:cs="Times New Roman"/>
              </w:rPr>
              <w:t>Мобайл</w:t>
            </w:r>
            <w:proofErr w:type="spellEnd"/>
            <w:r>
              <w:rPr>
                <w:rFonts w:ascii="Times New Roman" w:eastAsia="Times New Roman" w:hAnsi="Times New Roman" w:cs="Times New Roman"/>
              </w:rPr>
              <w:t>»</w:t>
            </w:r>
          </w:p>
        </w:tc>
        <w:tc>
          <w:tcPr>
            <w:tcW w:w="1283" w:type="dxa"/>
            <w:shd w:val="clear" w:color="auto" w:fill="auto"/>
            <w:vAlign w:val="center"/>
          </w:tcPr>
          <w:p w:rsidR="00CC7E4D" w:rsidRPr="00556F25" w:rsidRDefault="00CC7E4D" w:rsidP="00CC7E4D">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0,04</w:t>
            </w:r>
          </w:p>
        </w:tc>
        <w:tc>
          <w:tcPr>
            <w:tcW w:w="1850" w:type="dxa"/>
            <w:shd w:val="clear" w:color="auto" w:fill="auto"/>
            <w:vAlign w:val="center"/>
          </w:tcPr>
          <w:p w:rsidR="00CC7E4D" w:rsidRPr="00556F25" w:rsidRDefault="00CC7E4D" w:rsidP="00CC7E4D">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0,04</w:t>
            </w:r>
          </w:p>
        </w:tc>
        <w:tc>
          <w:tcPr>
            <w:tcW w:w="1851" w:type="dxa"/>
            <w:shd w:val="clear" w:color="auto" w:fill="auto"/>
            <w:vAlign w:val="center"/>
          </w:tcPr>
          <w:p w:rsidR="00CC7E4D" w:rsidRPr="00556F25" w:rsidRDefault="00CC7E4D" w:rsidP="00CC7E4D">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0,05</w:t>
            </w:r>
          </w:p>
        </w:tc>
      </w:tr>
      <w:tr w:rsidR="00CC7E4D" w:rsidTr="00556F25">
        <w:trPr>
          <w:trHeight w:val="315"/>
        </w:trPr>
        <w:tc>
          <w:tcPr>
            <w:tcW w:w="666" w:type="dxa"/>
          </w:tcPr>
          <w:p w:rsidR="00CC7E4D" w:rsidRDefault="00CC7E4D" w:rsidP="00CC7E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3695" w:type="dxa"/>
            <w:vAlign w:val="bottom"/>
          </w:tcPr>
          <w:p w:rsidR="00CC7E4D" w:rsidRPr="00713FB3" w:rsidRDefault="00CC7E4D" w:rsidP="00CC7E4D">
            <w:pPr>
              <w:rPr>
                <w:rFonts w:ascii="Times New Roman" w:eastAsia="Times New Roman" w:hAnsi="Times New Roman" w:cs="Times New Roman"/>
              </w:rPr>
            </w:pPr>
            <w:r>
              <w:rPr>
                <w:rFonts w:ascii="Times New Roman" w:eastAsia="Times New Roman" w:hAnsi="Times New Roman" w:cs="Times New Roman"/>
              </w:rPr>
              <w:t>АО «</w:t>
            </w:r>
            <w:proofErr w:type="spellStart"/>
            <w:r>
              <w:rPr>
                <w:rFonts w:ascii="Times New Roman" w:eastAsia="Times New Roman" w:hAnsi="Times New Roman" w:cs="Times New Roman"/>
              </w:rPr>
              <w:t>Вайнах</w:t>
            </w:r>
            <w:proofErr w:type="spellEnd"/>
            <w:r>
              <w:rPr>
                <w:rFonts w:ascii="Times New Roman" w:eastAsia="Times New Roman" w:hAnsi="Times New Roman" w:cs="Times New Roman"/>
              </w:rPr>
              <w:t xml:space="preserve"> Телеком»</w:t>
            </w:r>
          </w:p>
        </w:tc>
        <w:tc>
          <w:tcPr>
            <w:tcW w:w="1283" w:type="dxa"/>
            <w:shd w:val="clear" w:color="auto" w:fill="auto"/>
            <w:vAlign w:val="center"/>
          </w:tcPr>
          <w:p w:rsidR="00CC7E4D" w:rsidRPr="00556F25" w:rsidRDefault="00CC7E4D" w:rsidP="00CC7E4D">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0,00</w:t>
            </w:r>
          </w:p>
        </w:tc>
        <w:tc>
          <w:tcPr>
            <w:tcW w:w="1850" w:type="dxa"/>
            <w:shd w:val="clear" w:color="auto" w:fill="auto"/>
            <w:vAlign w:val="center"/>
          </w:tcPr>
          <w:p w:rsidR="00CC7E4D" w:rsidRPr="00556F25" w:rsidRDefault="00CC7E4D" w:rsidP="00CC7E4D">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0,01</w:t>
            </w:r>
          </w:p>
        </w:tc>
        <w:tc>
          <w:tcPr>
            <w:tcW w:w="1851" w:type="dxa"/>
            <w:shd w:val="clear" w:color="auto" w:fill="auto"/>
            <w:vAlign w:val="center"/>
          </w:tcPr>
          <w:p w:rsidR="00CC7E4D" w:rsidRPr="00556F25" w:rsidRDefault="00CC7E4D" w:rsidP="00CC7E4D">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0,19</w:t>
            </w:r>
          </w:p>
        </w:tc>
      </w:tr>
    </w:tbl>
    <w:p w:rsidR="00D31594" w:rsidRDefault="00D31594" w:rsidP="00D31594"/>
    <w:p w:rsidR="009B3C13" w:rsidRDefault="009B3C13" w:rsidP="00D31594"/>
    <w:p w:rsidR="00D31594" w:rsidRPr="00034FAC" w:rsidRDefault="00D31594" w:rsidP="00DF3E35">
      <w:pPr>
        <w:spacing w:after="0" w:line="240" w:lineRule="auto"/>
        <w:ind w:firstLine="900"/>
        <w:jc w:val="both"/>
        <w:rPr>
          <w:rFonts w:ascii="Times New Roman" w:hAnsi="Times New Roman" w:cs="Times New Roman"/>
          <w:b/>
          <w:sz w:val="28"/>
          <w:szCs w:val="28"/>
        </w:rPr>
      </w:pPr>
      <w:r w:rsidRPr="0041496F">
        <w:rPr>
          <w:rFonts w:ascii="Times New Roman" w:hAnsi="Times New Roman" w:cs="Times New Roman"/>
          <w:b/>
          <w:sz w:val="28"/>
          <w:szCs w:val="28"/>
        </w:rPr>
        <w:t>5.</w:t>
      </w:r>
      <w:r>
        <w:rPr>
          <w:rFonts w:ascii="Times New Roman" w:hAnsi="Times New Roman" w:cs="Times New Roman"/>
          <w:b/>
          <w:sz w:val="28"/>
          <w:szCs w:val="28"/>
        </w:rPr>
        <w:t xml:space="preserve">2. Определение </w:t>
      </w:r>
      <w:r w:rsidRPr="0041496F">
        <w:rPr>
          <w:rFonts w:ascii="Times New Roman" w:hAnsi="Times New Roman" w:cs="Times New Roman"/>
          <w:b/>
          <w:sz w:val="28"/>
          <w:szCs w:val="28"/>
        </w:rPr>
        <w:t>долей х</w:t>
      </w:r>
      <w:r>
        <w:rPr>
          <w:rFonts w:ascii="Times New Roman" w:hAnsi="Times New Roman" w:cs="Times New Roman"/>
          <w:b/>
          <w:sz w:val="28"/>
          <w:szCs w:val="28"/>
        </w:rPr>
        <w:t>озяйствующих субъектов на рынке услуг подвижной т</w:t>
      </w:r>
      <w:r w:rsidR="009B3C13">
        <w:rPr>
          <w:rFonts w:ascii="Times New Roman" w:hAnsi="Times New Roman" w:cs="Times New Roman"/>
          <w:b/>
          <w:sz w:val="28"/>
          <w:szCs w:val="28"/>
        </w:rPr>
        <w:t>елефонной радиосвязи по доходам</w:t>
      </w:r>
      <w:r>
        <w:rPr>
          <w:rFonts w:ascii="Times New Roman" w:hAnsi="Times New Roman" w:cs="Times New Roman"/>
          <w:noProof/>
          <w:sz w:val="28"/>
          <w:szCs w:val="28"/>
          <w:lang w:eastAsia="ru-RU"/>
        </w:rPr>
        <w:drawing>
          <wp:inline distT="0" distB="0" distL="0" distR="0">
            <wp:extent cx="5486400" cy="3395557"/>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F3E35" w:rsidRPr="00034FAC" w:rsidRDefault="00DF3E35" w:rsidP="00DF3E35">
      <w:pPr>
        <w:spacing w:after="0" w:line="240" w:lineRule="auto"/>
        <w:ind w:firstLine="900"/>
        <w:jc w:val="both"/>
        <w:rPr>
          <w:rFonts w:ascii="Times New Roman" w:hAnsi="Times New Roman" w:cs="Times New Roman"/>
          <w:b/>
          <w:sz w:val="28"/>
          <w:szCs w:val="28"/>
        </w:rPr>
      </w:pPr>
    </w:p>
    <w:p w:rsidR="00DF3E35" w:rsidRPr="00034FAC" w:rsidRDefault="00DF3E35" w:rsidP="00DF3E35">
      <w:pPr>
        <w:spacing w:after="0" w:line="240" w:lineRule="auto"/>
        <w:ind w:firstLine="900"/>
        <w:jc w:val="both"/>
        <w:rPr>
          <w:rFonts w:ascii="Times New Roman" w:hAnsi="Times New Roman" w:cs="Times New Roman"/>
          <w:b/>
          <w:sz w:val="28"/>
          <w:szCs w:val="28"/>
        </w:rPr>
      </w:pPr>
    </w:p>
    <w:tbl>
      <w:tblPr>
        <w:tblW w:w="14992" w:type="dxa"/>
        <w:tblLayout w:type="fixed"/>
        <w:tblLook w:val="04A0" w:firstRow="1" w:lastRow="0" w:firstColumn="1" w:lastColumn="0" w:noHBand="0" w:noVBand="1"/>
      </w:tblPr>
      <w:tblGrid>
        <w:gridCol w:w="660"/>
        <w:gridCol w:w="3701"/>
        <w:gridCol w:w="5103"/>
        <w:gridCol w:w="5528"/>
      </w:tblGrid>
      <w:tr w:rsidR="00D31594" w:rsidRPr="00DE2929" w:rsidTr="00905F65">
        <w:trPr>
          <w:gridAfter w:val="1"/>
          <w:wAfter w:w="5528" w:type="dxa"/>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1594" w:rsidRPr="00DE2929" w:rsidRDefault="00D31594" w:rsidP="00905F65">
            <w:pPr>
              <w:spacing w:after="0" w:line="240" w:lineRule="auto"/>
              <w:jc w:val="center"/>
              <w:rPr>
                <w:rFonts w:ascii="Times New Roman" w:eastAsia="Times New Roman" w:hAnsi="Times New Roman" w:cs="Times New Roman"/>
                <w:sz w:val="24"/>
                <w:szCs w:val="24"/>
                <w:lang w:eastAsia="ru-RU"/>
              </w:rPr>
            </w:pPr>
            <w:r w:rsidRPr="00DE2929">
              <w:rPr>
                <w:rFonts w:ascii="Times New Roman" w:eastAsia="Times New Roman" w:hAnsi="Times New Roman" w:cs="Times New Roman"/>
                <w:sz w:val="24"/>
                <w:szCs w:val="24"/>
                <w:lang w:eastAsia="ru-RU"/>
              </w:rPr>
              <w:t>п/н</w:t>
            </w:r>
          </w:p>
        </w:tc>
        <w:tc>
          <w:tcPr>
            <w:tcW w:w="3701" w:type="dxa"/>
            <w:tcBorders>
              <w:top w:val="single" w:sz="4" w:space="0" w:color="auto"/>
              <w:left w:val="nil"/>
              <w:bottom w:val="single" w:sz="4" w:space="0" w:color="auto"/>
              <w:right w:val="single" w:sz="4" w:space="0" w:color="auto"/>
            </w:tcBorders>
            <w:shd w:val="clear" w:color="auto" w:fill="auto"/>
            <w:vAlign w:val="center"/>
            <w:hideMark/>
          </w:tcPr>
          <w:p w:rsidR="00D31594" w:rsidRPr="00DE2929" w:rsidRDefault="00D31594" w:rsidP="00905F65">
            <w:pPr>
              <w:spacing w:after="0" w:line="240" w:lineRule="auto"/>
              <w:jc w:val="center"/>
              <w:rPr>
                <w:rFonts w:ascii="Times New Roman" w:eastAsia="Times New Roman" w:hAnsi="Times New Roman" w:cs="Times New Roman"/>
                <w:sz w:val="24"/>
                <w:szCs w:val="24"/>
                <w:lang w:eastAsia="ru-RU"/>
              </w:rPr>
            </w:pPr>
            <w:r w:rsidRPr="00DE2929">
              <w:rPr>
                <w:rFonts w:ascii="Times New Roman" w:eastAsia="Times New Roman" w:hAnsi="Times New Roman" w:cs="Times New Roman"/>
                <w:sz w:val="24"/>
                <w:szCs w:val="24"/>
                <w:lang w:eastAsia="ru-RU"/>
              </w:rPr>
              <w:t>Наименование оператора связи</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D31594" w:rsidRPr="000B4BC2" w:rsidRDefault="00D31594" w:rsidP="006F45E1">
            <w:pPr>
              <w:spacing w:after="0" w:line="240" w:lineRule="auto"/>
              <w:jc w:val="center"/>
              <w:rPr>
                <w:rFonts w:ascii="Times New Roman" w:eastAsia="Times New Roman" w:hAnsi="Times New Roman" w:cs="Times New Roman"/>
                <w:sz w:val="24"/>
                <w:szCs w:val="24"/>
                <w:lang w:eastAsia="ru-RU"/>
              </w:rPr>
            </w:pPr>
            <w:r w:rsidRPr="00473C08">
              <w:rPr>
                <w:rFonts w:ascii="Times New Roman" w:eastAsia="Times New Roman" w:hAnsi="Times New Roman" w:cs="Times New Roman"/>
                <w:color w:val="000000"/>
                <w:sz w:val="24"/>
                <w:szCs w:val="24"/>
                <w:lang w:eastAsia="ru-RU"/>
              </w:rPr>
              <w:t xml:space="preserve">Доли операторов по доходам от услуг подвижной радиотелефонной связи в сети связи общего </w:t>
            </w:r>
            <w:r>
              <w:rPr>
                <w:rFonts w:ascii="Times New Roman" w:eastAsia="Times New Roman" w:hAnsi="Times New Roman" w:cs="Times New Roman"/>
                <w:color w:val="000000"/>
                <w:sz w:val="24"/>
                <w:szCs w:val="24"/>
                <w:lang w:eastAsia="ru-RU"/>
              </w:rPr>
              <w:t>пользования</w:t>
            </w:r>
          </w:p>
        </w:tc>
      </w:tr>
      <w:tr w:rsidR="006F45E1" w:rsidRPr="00DE2929" w:rsidTr="009D161B">
        <w:trPr>
          <w:gridAfter w:val="1"/>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6F45E1" w:rsidRPr="00DE2929" w:rsidRDefault="006F45E1" w:rsidP="006F45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701" w:type="dxa"/>
            <w:tcBorders>
              <w:top w:val="nil"/>
              <w:left w:val="nil"/>
              <w:bottom w:val="single" w:sz="4" w:space="0" w:color="auto"/>
              <w:right w:val="single" w:sz="4" w:space="0" w:color="auto"/>
            </w:tcBorders>
            <w:shd w:val="clear" w:color="auto" w:fill="auto"/>
            <w:vAlign w:val="bottom"/>
          </w:tcPr>
          <w:p w:rsidR="006F45E1" w:rsidRPr="00224C33" w:rsidRDefault="006F45E1" w:rsidP="006F45E1">
            <w:pPr>
              <w:spacing w:after="0" w:line="240" w:lineRule="auto"/>
              <w:rPr>
                <w:rFonts w:ascii="Times New Roman" w:eastAsia="Times New Roman" w:hAnsi="Times New Roman" w:cs="Times New Roman"/>
                <w:b/>
                <w:color w:val="000000"/>
                <w:sz w:val="24"/>
                <w:szCs w:val="24"/>
                <w:lang w:eastAsia="ru-RU"/>
              </w:rPr>
            </w:pPr>
            <w:r w:rsidRPr="00224C33">
              <w:rPr>
                <w:rFonts w:ascii="Times New Roman" w:eastAsia="Times New Roman" w:hAnsi="Times New Roman" w:cs="Times New Roman"/>
                <w:b/>
                <w:color w:val="000000"/>
                <w:sz w:val="24"/>
                <w:szCs w:val="24"/>
                <w:lang w:eastAsia="ru-RU"/>
              </w:rPr>
              <w:t>ПАО «ВымпелКом»</w:t>
            </w:r>
          </w:p>
        </w:tc>
        <w:tc>
          <w:tcPr>
            <w:tcW w:w="5103" w:type="dxa"/>
            <w:tcBorders>
              <w:top w:val="nil"/>
              <w:left w:val="nil"/>
              <w:bottom w:val="single" w:sz="4" w:space="0" w:color="auto"/>
              <w:right w:val="single" w:sz="4" w:space="0" w:color="auto"/>
            </w:tcBorders>
            <w:shd w:val="clear" w:color="auto" w:fill="auto"/>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25%</w:t>
            </w:r>
          </w:p>
        </w:tc>
      </w:tr>
      <w:tr w:rsidR="006F45E1" w:rsidRPr="00DE2929" w:rsidTr="009D161B">
        <w:trPr>
          <w:gridAfter w:val="1"/>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6F45E1" w:rsidRPr="00DE2929" w:rsidRDefault="006F45E1" w:rsidP="006F45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701" w:type="dxa"/>
            <w:tcBorders>
              <w:top w:val="nil"/>
              <w:left w:val="nil"/>
              <w:bottom w:val="single" w:sz="4" w:space="0" w:color="auto"/>
              <w:right w:val="single" w:sz="4" w:space="0" w:color="auto"/>
            </w:tcBorders>
            <w:shd w:val="clear" w:color="auto" w:fill="auto"/>
            <w:vAlign w:val="bottom"/>
          </w:tcPr>
          <w:p w:rsidR="006F45E1" w:rsidRPr="00224C33" w:rsidRDefault="006F45E1" w:rsidP="006F45E1">
            <w:pPr>
              <w:spacing w:after="0" w:line="240" w:lineRule="auto"/>
              <w:rPr>
                <w:rFonts w:ascii="Times New Roman" w:eastAsia="Times New Roman" w:hAnsi="Times New Roman" w:cs="Times New Roman"/>
                <w:b/>
                <w:color w:val="000000"/>
                <w:sz w:val="24"/>
                <w:szCs w:val="24"/>
                <w:lang w:eastAsia="ru-RU"/>
              </w:rPr>
            </w:pPr>
            <w:r w:rsidRPr="00224C33">
              <w:rPr>
                <w:rFonts w:ascii="Times New Roman" w:eastAsia="Times New Roman" w:hAnsi="Times New Roman" w:cs="Times New Roman"/>
                <w:b/>
                <w:color w:val="000000"/>
                <w:sz w:val="24"/>
                <w:szCs w:val="24"/>
                <w:lang w:eastAsia="ru-RU"/>
              </w:rPr>
              <w:t>ПАО «МТС»</w:t>
            </w:r>
          </w:p>
        </w:tc>
        <w:tc>
          <w:tcPr>
            <w:tcW w:w="5103" w:type="dxa"/>
            <w:tcBorders>
              <w:top w:val="nil"/>
              <w:left w:val="nil"/>
              <w:bottom w:val="single" w:sz="4" w:space="0" w:color="auto"/>
              <w:right w:val="single" w:sz="4" w:space="0" w:color="auto"/>
            </w:tcBorders>
            <w:shd w:val="clear" w:color="auto" w:fill="auto"/>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26%</w:t>
            </w:r>
          </w:p>
        </w:tc>
      </w:tr>
      <w:tr w:rsidR="006F45E1" w:rsidRPr="00DE2929" w:rsidTr="009D161B">
        <w:trPr>
          <w:gridAfter w:val="1"/>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6F45E1" w:rsidRPr="00DE2929" w:rsidRDefault="006F45E1" w:rsidP="006F45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701" w:type="dxa"/>
            <w:tcBorders>
              <w:top w:val="nil"/>
              <w:left w:val="nil"/>
              <w:bottom w:val="single" w:sz="4" w:space="0" w:color="auto"/>
              <w:right w:val="single" w:sz="4" w:space="0" w:color="auto"/>
            </w:tcBorders>
            <w:shd w:val="clear" w:color="auto" w:fill="auto"/>
            <w:vAlign w:val="bottom"/>
          </w:tcPr>
          <w:p w:rsidR="006F45E1" w:rsidRPr="00224C33" w:rsidRDefault="006F45E1" w:rsidP="006F45E1">
            <w:pPr>
              <w:spacing w:after="0" w:line="240" w:lineRule="auto"/>
              <w:rPr>
                <w:rFonts w:ascii="Times New Roman" w:eastAsia="Times New Roman" w:hAnsi="Times New Roman" w:cs="Times New Roman"/>
                <w:b/>
                <w:sz w:val="24"/>
                <w:szCs w:val="24"/>
                <w:lang w:eastAsia="ru-RU"/>
              </w:rPr>
            </w:pPr>
            <w:r w:rsidRPr="00224C33">
              <w:rPr>
                <w:rFonts w:ascii="Times New Roman" w:eastAsia="Times New Roman" w:hAnsi="Times New Roman" w:cs="Times New Roman"/>
                <w:b/>
                <w:sz w:val="24"/>
                <w:szCs w:val="24"/>
                <w:lang w:eastAsia="ru-RU"/>
              </w:rPr>
              <w:t>ПАО «МегаФон»</w:t>
            </w:r>
          </w:p>
        </w:tc>
        <w:tc>
          <w:tcPr>
            <w:tcW w:w="5103" w:type="dxa"/>
            <w:tcBorders>
              <w:top w:val="nil"/>
              <w:left w:val="nil"/>
              <w:bottom w:val="single" w:sz="4" w:space="0" w:color="auto"/>
              <w:right w:val="single" w:sz="4" w:space="0" w:color="auto"/>
            </w:tcBorders>
            <w:shd w:val="clear" w:color="auto" w:fill="auto"/>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30%</w:t>
            </w:r>
          </w:p>
        </w:tc>
      </w:tr>
      <w:tr w:rsidR="006F45E1" w:rsidRPr="00DE2929" w:rsidTr="009D161B">
        <w:trPr>
          <w:gridAfter w:val="1"/>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6F45E1" w:rsidRPr="00DE2929" w:rsidRDefault="006F45E1" w:rsidP="006F45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701" w:type="dxa"/>
            <w:tcBorders>
              <w:top w:val="nil"/>
              <w:left w:val="nil"/>
              <w:bottom w:val="single" w:sz="4" w:space="0" w:color="auto"/>
              <w:right w:val="single" w:sz="4" w:space="0" w:color="auto"/>
            </w:tcBorders>
            <w:shd w:val="clear" w:color="auto" w:fill="auto"/>
            <w:vAlign w:val="bottom"/>
          </w:tcPr>
          <w:p w:rsidR="006F45E1" w:rsidRPr="00224C33" w:rsidRDefault="006F45E1" w:rsidP="006F45E1">
            <w:pPr>
              <w:spacing w:after="0" w:line="240" w:lineRule="auto"/>
              <w:rPr>
                <w:rFonts w:ascii="Times New Roman" w:eastAsia="Times New Roman" w:hAnsi="Times New Roman" w:cs="Times New Roman"/>
                <w:b/>
                <w:color w:val="000000"/>
                <w:sz w:val="24"/>
                <w:szCs w:val="24"/>
                <w:lang w:eastAsia="ru-RU"/>
              </w:rPr>
            </w:pPr>
            <w:r w:rsidRPr="00224C33">
              <w:rPr>
                <w:rFonts w:ascii="Times New Roman" w:eastAsia="Times New Roman" w:hAnsi="Times New Roman" w:cs="Times New Roman"/>
                <w:b/>
                <w:color w:val="000000"/>
                <w:sz w:val="24"/>
                <w:szCs w:val="24"/>
                <w:lang w:eastAsia="ru-RU"/>
              </w:rPr>
              <w:t xml:space="preserve">ООО «Т2 </w:t>
            </w:r>
            <w:proofErr w:type="spellStart"/>
            <w:r w:rsidRPr="00224C33">
              <w:rPr>
                <w:rFonts w:ascii="Times New Roman" w:eastAsia="Times New Roman" w:hAnsi="Times New Roman" w:cs="Times New Roman"/>
                <w:b/>
                <w:color w:val="000000"/>
                <w:sz w:val="24"/>
                <w:szCs w:val="24"/>
                <w:lang w:eastAsia="ru-RU"/>
              </w:rPr>
              <w:t>Мобайл</w:t>
            </w:r>
            <w:proofErr w:type="spellEnd"/>
            <w:r w:rsidRPr="00224C33">
              <w:rPr>
                <w:rFonts w:ascii="Times New Roman" w:eastAsia="Times New Roman" w:hAnsi="Times New Roman" w:cs="Times New Roman"/>
                <w:b/>
                <w:color w:val="000000"/>
                <w:sz w:val="24"/>
                <w:szCs w:val="24"/>
                <w:lang w:eastAsia="ru-RU"/>
              </w:rPr>
              <w:t>»</w:t>
            </w:r>
          </w:p>
        </w:tc>
        <w:tc>
          <w:tcPr>
            <w:tcW w:w="5103" w:type="dxa"/>
            <w:tcBorders>
              <w:top w:val="nil"/>
              <w:left w:val="nil"/>
              <w:bottom w:val="single" w:sz="4" w:space="0" w:color="auto"/>
              <w:right w:val="single" w:sz="4" w:space="0" w:color="auto"/>
            </w:tcBorders>
            <w:shd w:val="clear" w:color="auto" w:fill="auto"/>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13%</w:t>
            </w:r>
          </w:p>
        </w:tc>
      </w:tr>
      <w:tr w:rsidR="006F45E1" w:rsidRPr="00DE2929" w:rsidTr="009D161B">
        <w:trPr>
          <w:gridAfter w:val="1"/>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6F45E1" w:rsidRPr="00DE2929" w:rsidRDefault="006F45E1" w:rsidP="006F45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w:t>
            </w:r>
          </w:p>
        </w:tc>
        <w:tc>
          <w:tcPr>
            <w:tcW w:w="3701" w:type="dxa"/>
            <w:tcBorders>
              <w:top w:val="nil"/>
              <w:left w:val="nil"/>
              <w:bottom w:val="single" w:sz="4" w:space="0" w:color="auto"/>
              <w:right w:val="single" w:sz="4" w:space="0" w:color="auto"/>
            </w:tcBorders>
            <w:shd w:val="clear" w:color="auto" w:fill="auto"/>
            <w:vAlign w:val="bottom"/>
          </w:tcPr>
          <w:p w:rsidR="006F45E1" w:rsidRPr="00DE2929" w:rsidRDefault="006F45E1" w:rsidP="006F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w:t>
            </w:r>
            <w:proofErr w:type="spellStart"/>
            <w:r>
              <w:rPr>
                <w:rFonts w:ascii="Times New Roman" w:eastAsia="Times New Roman" w:hAnsi="Times New Roman" w:cs="Times New Roman"/>
                <w:sz w:val="24"/>
                <w:szCs w:val="24"/>
                <w:lang w:eastAsia="ru-RU"/>
              </w:rPr>
              <w:t>Скартел</w:t>
            </w:r>
            <w:proofErr w:type="spellEnd"/>
            <w:r>
              <w:rPr>
                <w:rFonts w:ascii="Times New Roman" w:eastAsia="Times New Roman" w:hAnsi="Times New Roman" w:cs="Times New Roman"/>
                <w:sz w:val="24"/>
                <w:szCs w:val="24"/>
                <w:lang w:eastAsia="ru-RU"/>
              </w:rPr>
              <w:t>»</w:t>
            </w:r>
          </w:p>
        </w:tc>
        <w:tc>
          <w:tcPr>
            <w:tcW w:w="5103" w:type="dxa"/>
            <w:tcBorders>
              <w:top w:val="nil"/>
              <w:left w:val="nil"/>
              <w:bottom w:val="single" w:sz="4" w:space="0" w:color="auto"/>
              <w:right w:val="single" w:sz="4" w:space="0" w:color="auto"/>
            </w:tcBorders>
            <w:shd w:val="clear" w:color="auto" w:fill="auto"/>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2,36%</w:t>
            </w:r>
          </w:p>
        </w:tc>
      </w:tr>
      <w:tr w:rsidR="006F45E1" w:rsidRPr="00DE2929" w:rsidTr="009D161B">
        <w:trPr>
          <w:gridAfter w:val="1"/>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6F45E1" w:rsidRDefault="006F45E1" w:rsidP="006F45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3701" w:type="dxa"/>
            <w:tcBorders>
              <w:top w:val="nil"/>
              <w:left w:val="nil"/>
              <w:bottom w:val="single" w:sz="4" w:space="0" w:color="auto"/>
              <w:right w:val="single" w:sz="4" w:space="0" w:color="auto"/>
            </w:tcBorders>
            <w:shd w:val="clear" w:color="auto" w:fill="auto"/>
            <w:vAlign w:val="bottom"/>
          </w:tcPr>
          <w:p w:rsidR="006F45E1" w:rsidRDefault="006F45E1" w:rsidP="006F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«Екатеринбург-2000»</w:t>
            </w:r>
          </w:p>
        </w:tc>
        <w:tc>
          <w:tcPr>
            <w:tcW w:w="5103" w:type="dxa"/>
            <w:tcBorders>
              <w:top w:val="nil"/>
              <w:left w:val="nil"/>
              <w:bottom w:val="single" w:sz="4" w:space="0" w:color="auto"/>
              <w:right w:val="single" w:sz="4" w:space="0" w:color="auto"/>
            </w:tcBorders>
            <w:shd w:val="clear" w:color="auto" w:fill="auto"/>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1,27%</w:t>
            </w:r>
          </w:p>
        </w:tc>
      </w:tr>
      <w:tr w:rsidR="006F45E1" w:rsidRPr="00DE2929" w:rsidTr="009D161B">
        <w:trPr>
          <w:gridAfter w:val="1"/>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6F45E1" w:rsidRPr="00DE2929" w:rsidRDefault="006F45E1" w:rsidP="006F45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3701" w:type="dxa"/>
            <w:tcBorders>
              <w:top w:val="nil"/>
              <w:left w:val="nil"/>
              <w:bottom w:val="single" w:sz="4" w:space="0" w:color="auto"/>
              <w:right w:val="single" w:sz="4" w:space="0" w:color="auto"/>
            </w:tcBorders>
            <w:shd w:val="clear" w:color="auto" w:fill="auto"/>
            <w:vAlign w:val="bottom"/>
          </w:tcPr>
          <w:p w:rsidR="006F45E1" w:rsidRPr="00224C33" w:rsidRDefault="006F45E1" w:rsidP="006F45E1">
            <w:pPr>
              <w:spacing w:after="0" w:line="240" w:lineRule="auto"/>
              <w:rPr>
                <w:rFonts w:ascii="Times New Roman" w:eastAsia="Times New Roman" w:hAnsi="Times New Roman" w:cs="Times New Roman"/>
                <w:color w:val="000000"/>
                <w:sz w:val="24"/>
                <w:szCs w:val="24"/>
                <w:lang w:eastAsia="ru-RU"/>
              </w:rPr>
            </w:pPr>
            <w:r w:rsidRPr="00224C33">
              <w:rPr>
                <w:rFonts w:ascii="Times New Roman" w:eastAsia="Times New Roman" w:hAnsi="Times New Roman" w:cs="Times New Roman"/>
                <w:color w:val="000000"/>
                <w:sz w:val="24"/>
                <w:szCs w:val="24"/>
                <w:lang w:eastAsia="ru-RU"/>
              </w:rPr>
              <w:t>ООО «ТМТ»</w:t>
            </w:r>
          </w:p>
        </w:tc>
        <w:tc>
          <w:tcPr>
            <w:tcW w:w="5103" w:type="dxa"/>
            <w:tcBorders>
              <w:top w:val="nil"/>
              <w:left w:val="nil"/>
              <w:bottom w:val="single" w:sz="4" w:space="0" w:color="auto"/>
              <w:right w:val="single" w:sz="4" w:space="0" w:color="auto"/>
            </w:tcBorders>
            <w:shd w:val="clear" w:color="auto" w:fill="auto"/>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0,28%</w:t>
            </w:r>
          </w:p>
        </w:tc>
      </w:tr>
      <w:tr w:rsidR="006F45E1" w:rsidRPr="00DE2929" w:rsidTr="009D161B">
        <w:trPr>
          <w:gridAfter w:val="1"/>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6F45E1" w:rsidRPr="00DE2929" w:rsidRDefault="006F45E1" w:rsidP="006F45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701" w:type="dxa"/>
            <w:tcBorders>
              <w:top w:val="nil"/>
              <w:left w:val="nil"/>
              <w:bottom w:val="single" w:sz="4" w:space="0" w:color="auto"/>
              <w:right w:val="single" w:sz="4" w:space="0" w:color="auto"/>
            </w:tcBorders>
            <w:shd w:val="clear" w:color="auto" w:fill="auto"/>
            <w:vAlign w:val="bottom"/>
          </w:tcPr>
          <w:p w:rsidR="006F45E1" w:rsidRPr="00224C33" w:rsidRDefault="006F45E1" w:rsidP="006F45E1">
            <w:pPr>
              <w:spacing w:after="0" w:line="240" w:lineRule="auto"/>
              <w:rPr>
                <w:rFonts w:ascii="Times New Roman" w:eastAsia="Times New Roman" w:hAnsi="Times New Roman" w:cs="Times New Roman"/>
                <w:color w:val="000000"/>
                <w:sz w:val="24"/>
                <w:szCs w:val="24"/>
                <w:lang w:eastAsia="ru-RU"/>
              </w:rPr>
            </w:pPr>
            <w:r w:rsidRPr="00224C33">
              <w:rPr>
                <w:rFonts w:ascii="Times New Roman" w:eastAsia="Times New Roman" w:hAnsi="Times New Roman" w:cs="Times New Roman"/>
                <w:color w:val="000000"/>
                <w:sz w:val="24"/>
                <w:szCs w:val="24"/>
                <w:lang w:eastAsia="ru-RU"/>
              </w:rPr>
              <w:t>ПАО «Ростелеком»</w:t>
            </w:r>
          </w:p>
        </w:tc>
        <w:tc>
          <w:tcPr>
            <w:tcW w:w="5103" w:type="dxa"/>
            <w:tcBorders>
              <w:top w:val="nil"/>
              <w:left w:val="nil"/>
              <w:bottom w:val="single" w:sz="4" w:space="0" w:color="auto"/>
              <w:right w:val="single" w:sz="4" w:space="0" w:color="auto"/>
            </w:tcBorders>
            <w:shd w:val="clear" w:color="auto" w:fill="auto"/>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0,69%</w:t>
            </w:r>
          </w:p>
        </w:tc>
      </w:tr>
      <w:tr w:rsidR="006F45E1" w:rsidRPr="00DE2929" w:rsidTr="009D161B">
        <w:trPr>
          <w:gridAfter w:val="1"/>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6F45E1" w:rsidRPr="00DE2929" w:rsidRDefault="006F45E1" w:rsidP="006F45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3701" w:type="dxa"/>
            <w:tcBorders>
              <w:top w:val="nil"/>
              <w:left w:val="nil"/>
              <w:bottom w:val="single" w:sz="4" w:space="0" w:color="auto"/>
              <w:right w:val="single" w:sz="4" w:space="0" w:color="auto"/>
            </w:tcBorders>
            <w:shd w:val="clear" w:color="auto" w:fill="auto"/>
            <w:vAlign w:val="bottom"/>
          </w:tcPr>
          <w:p w:rsidR="006F45E1" w:rsidRPr="00224C33" w:rsidRDefault="006F45E1" w:rsidP="006F45E1">
            <w:pPr>
              <w:spacing w:after="0" w:line="240" w:lineRule="auto"/>
              <w:rPr>
                <w:rFonts w:ascii="Times New Roman" w:eastAsia="Times New Roman" w:hAnsi="Times New Roman" w:cs="Times New Roman"/>
                <w:color w:val="000000"/>
                <w:sz w:val="24"/>
                <w:szCs w:val="24"/>
                <w:lang w:eastAsia="ru-RU"/>
              </w:rPr>
            </w:pPr>
            <w:r w:rsidRPr="00224C33">
              <w:rPr>
                <w:rFonts w:ascii="Times New Roman" w:eastAsia="Times New Roman" w:hAnsi="Times New Roman" w:cs="Times New Roman"/>
                <w:color w:val="000000"/>
                <w:sz w:val="24"/>
                <w:szCs w:val="24"/>
                <w:lang w:eastAsia="ru-RU"/>
              </w:rPr>
              <w:t>ПАО «МГТС»</w:t>
            </w:r>
          </w:p>
        </w:tc>
        <w:tc>
          <w:tcPr>
            <w:tcW w:w="5103" w:type="dxa"/>
            <w:tcBorders>
              <w:top w:val="nil"/>
              <w:left w:val="nil"/>
              <w:bottom w:val="single" w:sz="4" w:space="0" w:color="auto"/>
              <w:right w:val="single" w:sz="4" w:space="0" w:color="auto"/>
            </w:tcBorders>
            <w:shd w:val="clear" w:color="auto" w:fill="auto"/>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0,48%</w:t>
            </w:r>
          </w:p>
        </w:tc>
      </w:tr>
      <w:tr w:rsidR="006F45E1" w:rsidRPr="00DE2929" w:rsidTr="009D161B">
        <w:trPr>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6F45E1" w:rsidRPr="00DE2929" w:rsidRDefault="006F45E1" w:rsidP="006F45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3701" w:type="dxa"/>
            <w:tcBorders>
              <w:top w:val="nil"/>
              <w:left w:val="nil"/>
              <w:bottom w:val="single" w:sz="4" w:space="0" w:color="auto"/>
              <w:right w:val="single" w:sz="4" w:space="0" w:color="auto"/>
            </w:tcBorders>
            <w:shd w:val="clear" w:color="auto" w:fill="auto"/>
            <w:vAlign w:val="bottom"/>
          </w:tcPr>
          <w:p w:rsidR="006F45E1" w:rsidRPr="00224C33" w:rsidRDefault="006F45E1" w:rsidP="006F45E1">
            <w:pPr>
              <w:spacing w:after="0" w:line="240" w:lineRule="auto"/>
              <w:rPr>
                <w:rFonts w:ascii="Times New Roman" w:eastAsia="Times New Roman" w:hAnsi="Times New Roman" w:cs="Times New Roman"/>
                <w:sz w:val="24"/>
                <w:szCs w:val="24"/>
                <w:lang w:eastAsia="ru-RU"/>
              </w:rPr>
            </w:pPr>
            <w:r w:rsidRPr="00224C33">
              <w:rPr>
                <w:rFonts w:ascii="Times New Roman" w:eastAsia="Times New Roman" w:hAnsi="Times New Roman" w:cs="Times New Roman"/>
                <w:sz w:val="24"/>
                <w:szCs w:val="24"/>
                <w:lang w:eastAsia="ru-RU"/>
              </w:rPr>
              <w:t>ООО «К-Телеком»</w:t>
            </w:r>
          </w:p>
        </w:tc>
        <w:tc>
          <w:tcPr>
            <w:tcW w:w="5103" w:type="dxa"/>
            <w:tcBorders>
              <w:top w:val="nil"/>
              <w:left w:val="nil"/>
              <w:bottom w:val="single" w:sz="4" w:space="0" w:color="auto"/>
              <w:right w:val="single" w:sz="4" w:space="0" w:color="auto"/>
            </w:tcBorders>
            <w:shd w:val="clear" w:color="auto" w:fill="auto"/>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0,03%</w:t>
            </w:r>
          </w:p>
        </w:tc>
        <w:tc>
          <w:tcPr>
            <w:tcW w:w="5528" w:type="dxa"/>
            <w:vAlign w:val="bottom"/>
          </w:tcPr>
          <w:p w:rsidR="006F45E1" w:rsidRPr="00DE2929" w:rsidRDefault="006F45E1" w:rsidP="006F45E1">
            <w:pPr>
              <w:spacing w:after="0" w:line="240" w:lineRule="auto"/>
              <w:jc w:val="center"/>
              <w:rPr>
                <w:rFonts w:ascii="Times New Roman" w:eastAsia="Times New Roman" w:hAnsi="Times New Roman" w:cs="Times New Roman"/>
                <w:sz w:val="24"/>
                <w:szCs w:val="24"/>
                <w:lang w:eastAsia="ru-RU"/>
              </w:rPr>
            </w:pPr>
          </w:p>
        </w:tc>
      </w:tr>
      <w:tr w:rsidR="006F45E1" w:rsidRPr="00DE2929" w:rsidTr="009D161B">
        <w:trPr>
          <w:gridAfter w:val="1"/>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6F45E1" w:rsidRPr="00DE2929" w:rsidRDefault="006F45E1" w:rsidP="006F45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3701" w:type="dxa"/>
            <w:tcBorders>
              <w:top w:val="nil"/>
              <w:left w:val="nil"/>
              <w:bottom w:val="single" w:sz="4" w:space="0" w:color="auto"/>
              <w:right w:val="single" w:sz="4" w:space="0" w:color="auto"/>
            </w:tcBorders>
            <w:shd w:val="clear" w:color="auto" w:fill="auto"/>
            <w:vAlign w:val="bottom"/>
          </w:tcPr>
          <w:p w:rsidR="006F45E1" w:rsidRPr="00224C33" w:rsidRDefault="006F45E1" w:rsidP="006F45E1">
            <w:pPr>
              <w:spacing w:after="0" w:line="240" w:lineRule="auto"/>
              <w:rPr>
                <w:rFonts w:ascii="Times New Roman" w:eastAsia="Times New Roman" w:hAnsi="Times New Roman" w:cs="Times New Roman"/>
                <w:color w:val="000000"/>
                <w:sz w:val="24"/>
                <w:szCs w:val="24"/>
                <w:lang w:eastAsia="ru-RU"/>
              </w:rPr>
            </w:pPr>
            <w:r w:rsidRPr="00224C33">
              <w:rPr>
                <w:rFonts w:ascii="Times New Roman" w:eastAsia="Times New Roman" w:hAnsi="Times New Roman" w:cs="Times New Roman"/>
                <w:color w:val="000000"/>
                <w:sz w:val="24"/>
                <w:szCs w:val="24"/>
                <w:lang w:eastAsia="ru-RU"/>
              </w:rPr>
              <w:t>ГУП РК «</w:t>
            </w:r>
            <w:proofErr w:type="spellStart"/>
            <w:r w:rsidRPr="00224C33">
              <w:rPr>
                <w:rFonts w:ascii="Times New Roman" w:eastAsia="Times New Roman" w:hAnsi="Times New Roman" w:cs="Times New Roman"/>
                <w:color w:val="000000"/>
                <w:sz w:val="24"/>
                <w:szCs w:val="24"/>
                <w:lang w:eastAsia="ru-RU"/>
              </w:rPr>
              <w:t>КрымТелеКом</w:t>
            </w:r>
            <w:proofErr w:type="spellEnd"/>
            <w:r w:rsidRPr="00224C33">
              <w:rPr>
                <w:rFonts w:ascii="Times New Roman" w:eastAsia="Times New Roman" w:hAnsi="Times New Roman" w:cs="Times New Roman"/>
                <w:color w:val="000000"/>
                <w:sz w:val="24"/>
                <w:szCs w:val="24"/>
                <w:lang w:eastAsia="ru-RU"/>
              </w:rPr>
              <w:t>»</w:t>
            </w:r>
          </w:p>
        </w:tc>
        <w:tc>
          <w:tcPr>
            <w:tcW w:w="5103" w:type="dxa"/>
            <w:tcBorders>
              <w:top w:val="nil"/>
              <w:left w:val="nil"/>
              <w:bottom w:val="single" w:sz="4" w:space="0" w:color="auto"/>
              <w:right w:val="single" w:sz="4" w:space="0" w:color="auto"/>
            </w:tcBorders>
            <w:shd w:val="clear" w:color="auto" w:fill="auto"/>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0,00%</w:t>
            </w:r>
          </w:p>
        </w:tc>
      </w:tr>
      <w:tr w:rsidR="006F45E1" w:rsidRPr="00DE2929" w:rsidTr="009D161B">
        <w:trPr>
          <w:gridAfter w:val="1"/>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6F45E1" w:rsidRPr="00DE2929" w:rsidRDefault="006F45E1" w:rsidP="006F45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3701" w:type="dxa"/>
            <w:tcBorders>
              <w:top w:val="nil"/>
              <w:left w:val="nil"/>
              <w:bottom w:val="single" w:sz="4" w:space="0" w:color="auto"/>
              <w:right w:val="single" w:sz="4" w:space="0" w:color="auto"/>
            </w:tcBorders>
            <w:shd w:val="clear" w:color="auto" w:fill="auto"/>
            <w:vAlign w:val="bottom"/>
          </w:tcPr>
          <w:p w:rsidR="006F45E1" w:rsidRDefault="006F45E1" w:rsidP="006F45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ООО «</w:t>
            </w:r>
            <w:proofErr w:type="spellStart"/>
            <w:r>
              <w:rPr>
                <w:rFonts w:ascii="Times New Roman" w:eastAsia="Times New Roman" w:hAnsi="Times New Roman" w:cs="Times New Roman"/>
                <w:color w:val="000000"/>
                <w:sz w:val="24"/>
                <w:szCs w:val="24"/>
                <w:lang w:eastAsia="ru-RU"/>
              </w:rPr>
              <w:t>СевтелекомСвязь</w:t>
            </w:r>
            <w:proofErr w:type="spellEnd"/>
            <w:r>
              <w:rPr>
                <w:rFonts w:ascii="Times New Roman" w:eastAsia="Times New Roman" w:hAnsi="Times New Roman" w:cs="Times New Roman"/>
                <w:color w:val="000000"/>
                <w:sz w:val="24"/>
                <w:szCs w:val="24"/>
                <w:lang w:eastAsia="ru-RU"/>
              </w:rPr>
              <w:t>»</w:t>
            </w:r>
          </w:p>
        </w:tc>
        <w:tc>
          <w:tcPr>
            <w:tcW w:w="5103" w:type="dxa"/>
            <w:tcBorders>
              <w:top w:val="nil"/>
              <w:left w:val="nil"/>
              <w:bottom w:val="single" w:sz="4" w:space="0" w:color="auto"/>
              <w:right w:val="single" w:sz="4" w:space="0" w:color="auto"/>
            </w:tcBorders>
            <w:shd w:val="clear" w:color="auto" w:fill="auto"/>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0,00%</w:t>
            </w:r>
          </w:p>
        </w:tc>
      </w:tr>
      <w:tr w:rsidR="006F45E1" w:rsidRPr="00DE2929" w:rsidTr="009D161B">
        <w:trPr>
          <w:gridAfter w:val="1"/>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6F45E1" w:rsidRPr="00DE2929" w:rsidRDefault="006F45E1" w:rsidP="006F45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3701" w:type="dxa"/>
            <w:tcBorders>
              <w:top w:val="nil"/>
              <w:left w:val="nil"/>
              <w:bottom w:val="single" w:sz="4" w:space="0" w:color="auto"/>
              <w:right w:val="single" w:sz="4" w:space="0" w:color="auto"/>
            </w:tcBorders>
            <w:shd w:val="clear" w:color="auto" w:fill="auto"/>
            <w:vAlign w:val="bottom"/>
          </w:tcPr>
          <w:p w:rsidR="006F45E1" w:rsidRPr="00DE2929" w:rsidRDefault="006F45E1" w:rsidP="006F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«КТК-Телеком»</w:t>
            </w:r>
          </w:p>
        </w:tc>
        <w:tc>
          <w:tcPr>
            <w:tcW w:w="5103" w:type="dxa"/>
            <w:tcBorders>
              <w:top w:val="nil"/>
              <w:left w:val="nil"/>
              <w:bottom w:val="single" w:sz="4" w:space="0" w:color="auto"/>
              <w:right w:val="single" w:sz="4" w:space="0" w:color="auto"/>
            </w:tcBorders>
            <w:shd w:val="clear" w:color="auto" w:fill="auto"/>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0,04%</w:t>
            </w:r>
          </w:p>
        </w:tc>
      </w:tr>
      <w:tr w:rsidR="006F45E1" w:rsidRPr="00DE2929" w:rsidTr="009D161B">
        <w:trPr>
          <w:gridAfter w:val="1"/>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6F45E1" w:rsidRPr="00DE2929" w:rsidRDefault="006F45E1" w:rsidP="006F45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3701" w:type="dxa"/>
            <w:tcBorders>
              <w:top w:val="nil"/>
              <w:left w:val="nil"/>
              <w:bottom w:val="single" w:sz="4" w:space="0" w:color="auto"/>
              <w:right w:val="single" w:sz="4" w:space="0" w:color="auto"/>
            </w:tcBorders>
            <w:shd w:val="clear" w:color="auto" w:fill="auto"/>
            <w:vAlign w:val="bottom"/>
          </w:tcPr>
          <w:p w:rsidR="006F45E1" w:rsidRPr="000F45F3" w:rsidRDefault="006F45E1" w:rsidP="006F45E1">
            <w:pPr>
              <w:spacing w:after="0" w:line="240" w:lineRule="auto"/>
              <w:rPr>
                <w:rFonts w:ascii="Times New Roman" w:eastAsia="Times New Roman" w:hAnsi="Times New Roman" w:cs="Times New Roman"/>
                <w:sz w:val="24"/>
                <w:szCs w:val="24"/>
                <w:lang w:eastAsia="ru-RU"/>
              </w:rPr>
            </w:pPr>
            <w:r w:rsidRPr="000F45F3">
              <w:rPr>
                <w:rFonts w:ascii="Times New Roman" w:eastAsia="Times New Roman" w:hAnsi="Times New Roman" w:cs="Times New Roman"/>
                <w:sz w:val="24"/>
                <w:szCs w:val="24"/>
                <w:lang w:eastAsia="ru-RU"/>
              </w:rPr>
              <w:t>ЗАО «АКОС»</w:t>
            </w:r>
          </w:p>
        </w:tc>
        <w:tc>
          <w:tcPr>
            <w:tcW w:w="5103" w:type="dxa"/>
            <w:tcBorders>
              <w:top w:val="nil"/>
              <w:left w:val="nil"/>
              <w:bottom w:val="single" w:sz="4" w:space="0" w:color="auto"/>
              <w:right w:val="single" w:sz="4" w:space="0" w:color="auto"/>
            </w:tcBorders>
            <w:shd w:val="clear" w:color="auto" w:fill="auto"/>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0,12%</w:t>
            </w:r>
          </w:p>
        </w:tc>
      </w:tr>
      <w:tr w:rsidR="006F45E1" w:rsidRPr="00DE2929" w:rsidTr="009D161B">
        <w:trPr>
          <w:gridAfter w:val="1"/>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6F45E1" w:rsidRPr="00DE2929" w:rsidRDefault="006F45E1" w:rsidP="006F45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3701" w:type="dxa"/>
            <w:tcBorders>
              <w:top w:val="nil"/>
              <w:left w:val="nil"/>
              <w:bottom w:val="single" w:sz="4" w:space="0" w:color="auto"/>
              <w:right w:val="single" w:sz="4" w:space="0" w:color="auto"/>
            </w:tcBorders>
            <w:shd w:val="clear" w:color="auto" w:fill="auto"/>
            <w:vAlign w:val="bottom"/>
          </w:tcPr>
          <w:p w:rsidR="006F45E1" w:rsidRPr="000F45F3" w:rsidRDefault="006F45E1" w:rsidP="006F45E1">
            <w:pPr>
              <w:spacing w:after="0" w:line="240" w:lineRule="auto"/>
              <w:rPr>
                <w:rFonts w:ascii="Times New Roman" w:eastAsia="Times New Roman" w:hAnsi="Times New Roman" w:cs="Times New Roman"/>
                <w:sz w:val="24"/>
                <w:szCs w:val="24"/>
                <w:lang w:eastAsia="ru-RU"/>
              </w:rPr>
            </w:pPr>
            <w:r w:rsidRPr="000F45F3">
              <w:rPr>
                <w:rFonts w:ascii="Times New Roman" w:hAnsi="Times New Roman" w:cs="Times New Roman"/>
                <w:sz w:val="24"/>
                <w:szCs w:val="24"/>
              </w:rPr>
              <w:t>ОАО «Теле2-Санкт-Петербург»</w:t>
            </w:r>
          </w:p>
        </w:tc>
        <w:tc>
          <w:tcPr>
            <w:tcW w:w="5103" w:type="dxa"/>
            <w:tcBorders>
              <w:top w:val="nil"/>
              <w:left w:val="nil"/>
              <w:bottom w:val="single" w:sz="4" w:space="0" w:color="auto"/>
              <w:right w:val="single" w:sz="4" w:space="0" w:color="auto"/>
            </w:tcBorders>
            <w:shd w:val="clear" w:color="auto" w:fill="auto"/>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1,29%</w:t>
            </w:r>
          </w:p>
        </w:tc>
      </w:tr>
      <w:tr w:rsidR="006F45E1" w:rsidRPr="00DE2929" w:rsidTr="009D161B">
        <w:trPr>
          <w:gridAfter w:val="1"/>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6F45E1" w:rsidRDefault="006F45E1" w:rsidP="006F45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3701" w:type="dxa"/>
            <w:tcBorders>
              <w:top w:val="nil"/>
              <w:left w:val="nil"/>
              <w:bottom w:val="single" w:sz="4" w:space="0" w:color="auto"/>
              <w:right w:val="single" w:sz="4" w:space="0" w:color="auto"/>
            </w:tcBorders>
            <w:shd w:val="clear" w:color="auto" w:fill="auto"/>
            <w:vAlign w:val="bottom"/>
          </w:tcPr>
          <w:p w:rsidR="006F45E1" w:rsidRDefault="006F45E1" w:rsidP="006F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«МСН Телеком»</w:t>
            </w:r>
          </w:p>
        </w:tc>
        <w:tc>
          <w:tcPr>
            <w:tcW w:w="5103" w:type="dxa"/>
            <w:tcBorders>
              <w:top w:val="nil"/>
              <w:left w:val="nil"/>
              <w:bottom w:val="single" w:sz="4" w:space="0" w:color="auto"/>
              <w:right w:val="single" w:sz="4" w:space="0" w:color="auto"/>
            </w:tcBorders>
            <w:shd w:val="clear" w:color="auto" w:fill="auto"/>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0,00%</w:t>
            </w:r>
          </w:p>
        </w:tc>
      </w:tr>
      <w:tr w:rsidR="006F45E1" w:rsidRPr="00DE2929" w:rsidTr="009D161B">
        <w:trPr>
          <w:gridAfter w:val="1"/>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6F45E1" w:rsidRPr="00DE2929" w:rsidRDefault="006F45E1" w:rsidP="006F45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3701" w:type="dxa"/>
            <w:tcBorders>
              <w:top w:val="nil"/>
              <w:left w:val="nil"/>
              <w:bottom w:val="single" w:sz="4" w:space="0" w:color="auto"/>
              <w:right w:val="single" w:sz="4" w:space="0" w:color="auto"/>
            </w:tcBorders>
            <w:shd w:val="clear" w:color="auto" w:fill="auto"/>
            <w:vAlign w:val="bottom"/>
          </w:tcPr>
          <w:p w:rsidR="006F45E1" w:rsidRPr="00713FB3" w:rsidRDefault="006F45E1" w:rsidP="006F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ООО «Тинькофф </w:t>
            </w:r>
            <w:proofErr w:type="spellStart"/>
            <w:r>
              <w:rPr>
                <w:rFonts w:ascii="Times New Roman" w:eastAsia="Times New Roman" w:hAnsi="Times New Roman" w:cs="Times New Roman"/>
                <w:sz w:val="24"/>
                <w:szCs w:val="24"/>
                <w:lang w:eastAsia="ru-RU"/>
              </w:rPr>
              <w:t>Мобайл</w:t>
            </w:r>
            <w:proofErr w:type="spellEnd"/>
            <w:r>
              <w:rPr>
                <w:rFonts w:ascii="Times New Roman" w:eastAsia="Times New Roman" w:hAnsi="Times New Roman" w:cs="Times New Roman"/>
                <w:sz w:val="24"/>
                <w:szCs w:val="24"/>
                <w:lang w:eastAsia="ru-RU"/>
              </w:rPr>
              <w:t>»</w:t>
            </w:r>
          </w:p>
        </w:tc>
        <w:tc>
          <w:tcPr>
            <w:tcW w:w="5103" w:type="dxa"/>
            <w:tcBorders>
              <w:top w:val="nil"/>
              <w:left w:val="nil"/>
              <w:bottom w:val="single" w:sz="4" w:space="0" w:color="auto"/>
              <w:right w:val="single" w:sz="4" w:space="0" w:color="auto"/>
            </w:tcBorders>
            <w:shd w:val="clear" w:color="auto" w:fill="auto"/>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0,06%</w:t>
            </w:r>
          </w:p>
        </w:tc>
      </w:tr>
      <w:tr w:rsidR="006F45E1" w:rsidRPr="00DE2929" w:rsidTr="009D161B">
        <w:trPr>
          <w:gridAfter w:val="1"/>
          <w:wAfter w:w="5528" w:type="dxa"/>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6F45E1" w:rsidRDefault="006F45E1" w:rsidP="006F45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3701" w:type="dxa"/>
            <w:tcBorders>
              <w:top w:val="nil"/>
              <w:left w:val="nil"/>
              <w:bottom w:val="single" w:sz="4" w:space="0" w:color="auto"/>
              <w:right w:val="single" w:sz="4" w:space="0" w:color="auto"/>
            </w:tcBorders>
            <w:shd w:val="clear" w:color="auto" w:fill="auto"/>
            <w:vAlign w:val="bottom"/>
          </w:tcPr>
          <w:p w:rsidR="006F45E1" w:rsidRPr="00713FB3" w:rsidRDefault="006F45E1" w:rsidP="006F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АО «</w:t>
            </w:r>
            <w:proofErr w:type="spellStart"/>
            <w:r>
              <w:rPr>
                <w:rFonts w:ascii="Times New Roman" w:eastAsia="Times New Roman" w:hAnsi="Times New Roman" w:cs="Times New Roman"/>
                <w:sz w:val="24"/>
                <w:szCs w:val="24"/>
                <w:lang w:eastAsia="ru-RU"/>
              </w:rPr>
              <w:t>Вайнах</w:t>
            </w:r>
            <w:proofErr w:type="spellEnd"/>
            <w:r>
              <w:rPr>
                <w:rFonts w:ascii="Times New Roman" w:eastAsia="Times New Roman" w:hAnsi="Times New Roman" w:cs="Times New Roman"/>
                <w:sz w:val="24"/>
                <w:szCs w:val="24"/>
                <w:lang w:eastAsia="ru-RU"/>
              </w:rPr>
              <w:t xml:space="preserve"> Телеком»</w:t>
            </w:r>
          </w:p>
        </w:tc>
        <w:tc>
          <w:tcPr>
            <w:tcW w:w="5103" w:type="dxa"/>
            <w:tcBorders>
              <w:top w:val="nil"/>
              <w:left w:val="nil"/>
              <w:bottom w:val="single" w:sz="4" w:space="0" w:color="auto"/>
              <w:right w:val="single" w:sz="4" w:space="0" w:color="auto"/>
            </w:tcBorders>
            <w:shd w:val="clear" w:color="auto" w:fill="auto"/>
          </w:tcPr>
          <w:p w:rsidR="006F45E1" w:rsidRPr="00556F25" w:rsidRDefault="006F45E1" w:rsidP="006F45E1">
            <w:pPr>
              <w:jc w:val="center"/>
              <w:rPr>
                <w:rFonts w:ascii="Times New Roman" w:hAnsi="Times New Roman" w:cs="Times New Roman"/>
                <w:color w:val="FFFFFF" w:themeColor="background1"/>
              </w:rPr>
            </w:pPr>
            <w:r w:rsidRPr="00556F25">
              <w:rPr>
                <w:rFonts w:ascii="Times New Roman" w:hAnsi="Times New Roman" w:cs="Times New Roman"/>
                <w:color w:val="FFFFFF" w:themeColor="background1"/>
              </w:rPr>
              <w:t>0,06%</w:t>
            </w:r>
          </w:p>
        </w:tc>
      </w:tr>
      <w:tr w:rsidR="00D31594" w:rsidRPr="00473C08" w:rsidTr="00905F65">
        <w:trPr>
          <w:gridAfter w:val="1"/>
          <w:wAfter w:w="5528" w:type="dxa"/>
          <w:trHeight w:val="315"/>
        </w:trPr>
        <w:tc>
          <w:tcPr>
            <w:tcW w:w="4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1594" w:rsidRPr="00473C08" w:rsidRDefault="00D31594" w:rsidP="00905F65">
            <w:pPr>
              <w:spacing w:after="0" w:line="240" w:lineRule="auto"/>
              <w:jc w:val="center"/>
              <w:rPr>
                <w:rFonts w:ascii="Times New Roman" w:eastAsia="Times New Roman" w:hAnsi="Times New Roman" w:cs="Times New Roman"/>
                <w:b/>
                <w:bCs/>
                <w:color w:val="000000"/>
                <w:sz w:val="24"/>
                <w:szCs w:val="24"/>
                <w:lang w:eastAsia="ru-RU"/>
              </w:rPr>
            </w:pPr>
            <w:r w:rsidRPr="00473C08">
              <w:rPr>
                <w:rFonts w:ascii="Times New Roman" w:eastAsia="Times New Roman" w:hAnsi="Times New Roman" w:cs="Times New Roman"/>
                <w:b/>
                <w:bCs/>
                <w:color w:val="000000"/>
                <w:sz w:val="24"/>
                <w:szCs w:val="24"/>
                <w:lang w:eastAsia="ru-RU"/>
              </w:rPr>
              <w:t>Итого</w:t>
            </w:r>
          </w:p>
        </w:tc>
        <w:tc>
          <w:tcPr>
            <w:tcW w:w="5103" w:type="dxa"/>
            <w:tcBorders>
              <w:top w:val="nil"/>
              <w:left w:val="nil"/>
              <w:bottom w:val="single" w:sz="4" w:space="0" w:color="auto"/>
              <w:right w:val="single" w:sz="4" w:space="0" w:color="auto"/>
            </w:tcBorders>
            <w:shd w:val="clear" w:color="auto" w:fill="auto"/>
            <w:noWrap/>
            <w:vAlign w:val="bottom"/>
            <w:hideMark/>
          </w:tcPr>
          <w:p w:rsidR="00D31594" w:rsidRPr="00473C08" w:rsidRDefault="00D31594" w:rsidP="00905F65">
            <w:pPr>
              <w:spacing w:after="0" w:line="240" w:lineRule="auto"/>
              <w:jc w:val="center"/>
              <w:rPr>
                <w:rFonts w:ascii="Times New Roman" w:eastAsia="Times New Roman" w:hAnsi="Times New Roman" w:cs="Times New Roman"/>
                <w:color w:val="000000"/>
                <w:sz w:val="24"/>
                <w:szCs w:val="24"/>
                <w:lang w:eastAsia="ru-RU"/>
              </w:rPr>
            </w:pPr>
            <w:r w:rsidRPr="00473C08">
              <w:rPr>
                <w:rFonts w:ascii="Times New Roman" w:eastAsia="Times New Roman" w:hAnsi="Times New Roman" w:cs="Times New Roman"/>
                <w:color w:val="000000"/>
                <w:sz w:val="24"/>
                <w:szCs w:val="24"/>
                <w:lang w:eastAsia="ru-RU"/>
              </w:rPr>
              <w:t>100,00</w:t>
            </w:r>
          </w:p>
        </w:tc>
      </w:tr>
      <w:tr w:rsidR="00D31594" w:rsidRPr="00473C08" w:rsidTr="00905F65">
        <w:trPr>
          <w:gridAfter w:val="1"/>
          <w:wAfter w:w="5528" w:type="dxa"/>
          <w:trHeight w:val="315"/>
        </w:trPr>
        <w:tc>
          <w:tcPr>
            <w:tcW w:w="4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1594" w:rsidRPr="00473C08" w:rsidRDefault="00D31594" w:rsidP="00905F65">
            <w:pPr>
              <w:spacing w:after="0" w:line="240" w:lineRule="auto"/>
              <w:jc w:val="center"/>
              <w:rPr>
                <w:rFonts w:ascii="Times New Roman" w:eastAsia="Times New Roman" w:hAnsi="Times New Roman" w:cs="Times New Roman"/>
                <w:b/>
                <w:bCs/>
                <w:color w:val="000000"/>
                <w:sz w:val="24"/>
                <w:szCs w:val="24"/>
                <w:lang w:eastAsia="ru-RU"/>
              </w:rPr>
            </w:pPr>
            <w:r w:rsidRPr="00473C08">
              <w:rPr>
                <w:rFonts w:ascii="Times New Roman" w:eastAsia="Times New Roman" w:hAnsi="Times New Roman" w:cs="Times New Roman"/>
                <w:b/>
                <w:bCs/>
                <w:color w:val="000000"/>
                <w:sz w:val="24"/>
                <w:szCs w:val="24"/>
                <w:lang w:eastAsia="ru-RU"/>
              </w:rPr>
              <w:t>CR4</w:t>
            </w:r>
          </w:p>
        </w:tc>
        <w:tc>
          <w:tcPr>
            <w:tcW w:w="5103" w:type="dxa"/>
            <w:tcBorders>
              <w:top w:val="nil"/>
              <w:left w:val="nil"/>
              <w:bottom w:val="single" w:sz="4" w:space="0" w:color="auto"/>
              <w:right w:val="single" w:sz="4" w:space="0" w:color="auto"/>
            </w:tcBorders>
            <w:shd w:val="clear" w:color="auto" w:fill="auto"/>
            <w:noWrap/>
            <w:vAlign w:val="bottom"/>
            <w:hideMark/>
          </w:tcPr>
          <w:p w:rsidR="00D31594" w:rsidRPr="00473C08" w:rsidRDefault="006F45E1" w:rsidP="00905F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w:t>
            </w:r>
          </w:p>
        </w:tc>
      </w:tr>
      <w:tr w:rsidR="00D31594" w:rsidRPr="00473C08" w:rsidTr="00905F65">
        <w:trPr>
          <w:gridAfter w:val="1"/>
          <w:wAfter w:w="5528" w:type="dxa"/>
          <w:trHeight w:val="315"/>
        </w:trPr>
        <w:tc>
          <w:tcPr>
            <w:tcW w:w="4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1594" w:rsidRPr="00473C08" w:rsidRDefault="00D31594" w:rsidP="00905F65">
            <w:pPr>
              <w:spacing w:after="0" w:line="240" w:lineRule="auto"/>
              <w:jc w:val="center"/>
              <w:rPr>
                <w:rFonts w:ascii="Times New Roman" w:eastAsia="Times New Roman" w:hAnsi="Times New Roman" w:cs="Times New Roman"/>
                <w:b/>
                <w:bCs/>
                <w:color w:val="000000"/>
                <w:sz w:val="24"/>
                <w:szCs w:val="24"/>
                <w:lang w:eastAsia="ru-RU"/>
              </w:rPr>
            </w:pPr>
            <w:r w:rsidRPr="00473C08">
              <w:rPr>
                <w:rFonts w:ascii="Times New Roman" w:eastAsia="Times New Roman" w:hAnsi="Times New Roman" w:cs="Times New Roman"/>
                <w:b/>
                <w:bCs/>
                <w:color w:val="000000"/>
                <w:sz w:val="24"/>
                <w:szCs w:val="24"/>
                <w:lang w:eastAsia="ru-RU"/>
              </w:rPr>
              <w:t>HHI</w:t>
            </w:r>
          </w:p>
        </w:tc>
        <w:tc>
          <w:tcPr>
            <w:tcW w:w="5103" w:type="dxa"/>
            <w:tcBorders>
              <w:top w:val="nil"/>
              <w:left w:val="nil"/>
              <w:bottom w:val="single" w:sz="4" w:space="0" w:color="auto"/>
              <w:right w:val="single" w:sz="4" w:space="0" w:color="auto"/>
            </w:tcBorders>
            <w:shd w:val="clear" w:color="auto" w:fill="auto"/>
            <w:noWrap/>
            <w:vAlign w:val="bottom"/>
            <w:hideMark/>
          </w:tcPr>
          <w:p w:rsidR="00D31594" w:rsidRPr="00473C08" w:rsidRDefault="006F45E1" w:rsidP="00905F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2370</w:t>
            </w:r>
          </w:p>
        </w:tc>
      </w:tr>
    </w:tbl>
    <w:p w:rsidR="00D31594" w:rsidRDefault="00D31594" w:rsidP="00D31594">
      <w:pPr>
        <w:pStyle w:val="ConsPlusNormal"/>
        <w:ind w:firstLine="709"/>
        <w:jc w:val="both"/>
        <w:rPr>
          <w:b w:val="0"/>
        </w:rPr>
      </w:pPr>
    </w:p>
    <w:p w:rsidR="00D31594" w:rsidRPr="00FF2B2D" w:rsidRDefault="00D31594" w:rsidP="00D31594">
      <w:pPr>
        <w:pStyle w:val="ConsPlusNormal"/>
        <w:ind w:firstLine="709"/>
        <w:jc w:val="both"/>
        <w:rPr>
          <w:b w:val="0"/>
        </w:rPr>
      </w:pPr>
      <w:r w:rsidRPr="00FF2B2D">
        <w:rPr>
          <w:b w:val="0"/>
        </w:rPr>
        <w:t>Согласно пункту 6.5 Приказа № 220 совокупная доля хозяйствующих субъектов, доминирующее положение которых устанавливается по правилам, предусмотренным частью 3 статьи 5 Закона о защите конкуренции, определяется как сумма долей таких хозяйствующих субъектов или их групп лиц на соответствующем товарном рынке.</w:t>
      </w:r>
    </w:p>
    <w:p w:rsidR="00D31594" w:rsidRDefault="00D31594" w:rsidP="00D31594"/>
    <w:p w:rsidR="00D31594" w:rsidRDefault="00D31594" w:rsidP="00D3159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Pr="005F368B">
        <w:rPr>
          <w:rFonts w:ascii="Times New Roman" w:hAnsi="Times New Roman" w:cs="Times New Roman"/>
          <w:sz w:val="28"/>
          <w:szCs w:val="28"/>
        </w:rPr>
        <w:t xml:space="preserve">, совокупная доля </w:t>
      </w:r>
      <w:r w:rsidR="005F368B">
        <w:rPr>
          <w:rFonts w:ascii="Times New Roman" w:hAnsi="Times New Roman" w:cs="Times New Roman"/>
          <w:sz w:val="28"/>
          <w:szCs w:val="28"/>
        </w:rPr>
        <w:t>операторов связи и их групп лиц</w:t>
      </w:r>
      <w:r w:rsidRPr="005F368B">
        <w:rPr>
          <w:rFonts w:ascii="Times New Roman" w:hAnsi="Times New Roman" w:cs="Times New Roman"/>
          <w:sz w:val="28"/>
          <w:szCs w:val="28"/>
        </w:rPr>
        <w:t xml:space="preserve"> на рынке услуг подвиж</w:t>
      </w:r>
      <w:r w:rsidR="00206D5F">
        <w:rPr>
          <w:rFonts w:ascii="Times New Roman" w:hAnsi="Times New Roman" w:cs="Times New Roman"/>
          <w:sz w:val="28"/>
          <w:szCs w:val="28"/>
        </w:rPr>
        <w:t>ной радиотелефонной связи в 2018</w:t>
      </w:r>
      <w:r w:rsidRPr="005F368B">
        <w:rPr>
          <w:rFonts w:ascii="Times New Roman" w:hAnsi="Times New Roman" w:cs="Times New Roman"/>
          <w:sz w:val="28"/>
          <w:szCs w:val="28"/>
        </w:rPr>
        <w:t xml:space="preserve"> году следующая:</w:t>
      </w:r>
    </w:p>
    <w:tbl>
      <w:tblPr>
        <w:tblStyle w:val="a6"/>
        <w:tblW w:w="9345" w:type="dxa"/>
        <w:tblLayout w:type="fixed"/>
        <w:tblLook w:val="04A0" w:firstRow="1" w:lastRow="0" w:firstColumn="1" w:lastColumn="0" w:noHBand="0" w:noVBand="1"/>
      </w:tblPr>
      <w:tblGrid>
        <w:gridCol w:w="666"/>
        <w:gridCol w:w="3128"/>
        <w:gridCol w:w="5551"/>
      </w:tblGrid>
      <w:tr w:rsidR="00D31594" w:rsidRPr="0047202F" w:rsidTr="00710133">
        <w:trPr>
          <w:trHeight w:val="630"/>
        </w:trPr>
        <w:tc>
          <w:tcPr>
            <w:tcW w:w="666" w:type="dxa"/>
            <w:hideMark/>
          </w:tcPr>
          <w:p w:rsidR="00D31594" w:rsidRPr="00DE2929" w:rsidRDefault="00D31594" w:rsidP="00905F65">
            <w:pPr>
              <w:jc w:val="center"/>
              <w:rPr>
                <w:rFonts w:ascii="Times New Roman" w:eastAsia="Times New Roman" w:hAnsi="Times New Roman" w:cs="Times New Roman"/>
              </w:rPr>
            </w:pPr>
            <w:r w:rsidRPr="00DE2929">
              <w:rPr>
                <w:rFonts w:ascii="Times New Roman" w:eastAsia="Times New Roman" w:hAnsi="Times New Roman" w:cs="Times New Roman"/>
              </w:rPr>
              <w:t>п/н</w:t>
            </w:r>
          </w:p>
        </w:tc>
        <w:tc>
          <w:tcPr>
            <w:tcW w:w="3128" w:type="dxa"/>
            <w:hideMark/>
          </w:tcPr>
          <w:p w:rsidR="00D31594" w:rsidRPr="00DE2929" w:rsidRDefault="00D31594" w:rsidP="00905F65">
            <w:pPr>
              <w:jc w:val="center"/>
              <w:rPr>
                <w:rFonts w:ascii="Times New Roman" w:eastAsia="Times New Roman" w:hAnsi="Times New Roman" w:cs="Times New Roman"/>
              </w:rPr>
            </w:pPr>
            <w:r w:rsidRPr="00DE2929">
              <w:rPr>
                <w:rFonts w:ascii="Times New Roman" w:eastAsia="Times New Roman" w:hAnsi="Times New Roman" w:cs="Times New Roman"/>
              </w:rPr>
              <w:t>Наименование оператора связи</w:t>
            </w:r>
          </w:p>
        </w:tc>
        <w:tc>
          <w:tcPr>
            <w:tcW w:w="5551" w:type="dxa"/>
            <w:hideMark/>
          </w:tcPr>
          <w:p w:rsidR="00D31594" w:rsidRPr="000B4BC2" w:rsidRDefault="00D31594" w:rsidP="00905F65">
            <w:pPr>
              <w:jc w:val="center"/>
              <w:rPr>
                <w:rFonts w:ascii="Times New Roman" w:eastAsia="Times New Roman" w:hAnsi="Times New Roman" w:cs="Times New Roman"/>
              </w:rPr>
            </w:pPr>
            <w:r w:rsidRPr="00473C08">
              <w:rPr>
                <w:rFonts w:ascii="Times New Roman" w:eastAsia="Times New Roman" w:hAnsi="Times New Roman" w:cs="Times New Roman"/>
                <w:color w:val="000000"/>
              </w:rPr>
              <w:t xml:space="preserve">Доли операторов по доходам от услуг подвижной радиотелефонной связи в сети связи общего </w:t>
            </w:r>
            <w:r>
              <w:rPr>
                <w:rFonts w:ascii="Times New Roman" w:eastAsia="Times New Roman" w:hAnsi="Times New Roman" w:cs="Times New Roman"/>
                <w:color w:val="000000"/>
              </w:rPr>
              <w:t xml:space="preserve">пользования, в </w:t>
            </w:r>
            <w:r w:rsidRPr="000B4BC2">
              <w:rPr>
                <w:rFonts w:ascii="Times New Roman" w:eastAsia="Times New Roman" w:hAnsi="Times New Roman" w:cs="Times New Roman"/>
                <w:color w:val="000000"/>
              </w:rPr>
              <w:t>%</w:t>
            </w:r>
          </w:p>
        </w:tc>
      </w:tr>
      <w:tr w:rsidR="00887CBB" w:rsidRPr="00BE6019" w:rsidTr="00556F25">
        <w:trPr>
          <w:trHeight w:val="315"/>
        </w:trPr>
        <w:tc>
          <w:tcPr>
            <w:tcW w:w="666" w:type="dxa"/>
            <w:vAlign w:val="center"/>
          </w:tcPr>
          <w:p w:rsidR="00887CBB" w:rsidRPr="00DE2929" w:rsidRDefault="00887CBB" w:rsidP="00887CBB">
            <w:pPr>
              <w:jc w:val="center"/>
              <w:rPr>
                <w:rFonts w:ascii="Times New Roman" w:eastAsia="Times New Roman" w:hAnsi="Times New Roman" w:cs="Times New Roman"/>
                <w:color w:val="000000"/>
              </w:rPr>
            </w:pPr>
            <w:bookmarkStart w:id="0" w:name="_GoBack" w:colFirst="2" w:colLast="2"/>
            <w:r>
              <w:rPr>
                <w:rFonts w:ascii="Times New Roman" w:eastAsia="Times New Roman" w:hAnsi="Times New Roman" w:cs="Times New Roman"/>
                <w:color w:val="000000"/>
              </w:rPr>
              <w:t>1</w:t>
            </w:r>
          </w:p>
        </w:tc>
        <w:tc>
          <w:tcPr>
            <w:tcW w:w="3128" w:type="dxa"/>
            <w:vAlign w:val="bottom"/>
          </w:tcPr>
          <w:p w:rsidR="00887CBB" w:rsidRPr="00224C33" w:rsidRDefault="00887CBB" w:rsidP="00887CBB">
            <w:pPr>
              <w:rPr>
                <w:rFonts w:ascii="Times New Roman" w:eastAsia="Times New Roman" w:hAnsi="Times New Roman" w:cs="Times New Roman"/>
                <w:b/>
                <w:color w:val="000000"/>
              </w:rPr>
            </w:pPr>
            <w:r w:rsidRPr="00224C33">
              <w:rPr>
                <w:rFonts w:ascii="Times New Roman" w:eastAsia="Times New Roman" w:hAnsi="Times New Roman" w:cs="Times New Roman"/>
                <w:b/>
                <w:color w:val="000000"/>
              </w:rPr>
              <w:t>ПАО «ВымпелКом»</w:t>
            </w:r>
          </w:p>
        </w:tc>
        <w:tc>
          <w:tcPr>
            <w:tcW w:w="5551" w:type="dxa"/>
            <w:shd w:val="clear" w:color="auto" w:fill="auto"/>
          </w:tcPr>
          <w:p w:rsidR="00887CBB" w:rsidRPr="00556F25" w:rsidRDefault="00887CBB" w:rsidP="00887CBB">
            <w:pPr>
              <w:jc w:val="center"/>
              <w:rPr>
                <w:rFonts w:ascii="Times New Roman" w:eastAsia="Times New Roman" w:hAnsi="Times New Roman" w:cs="Times New Roman"/>
                <w:b/>
                <w:color w:val="FFFFFF" w:themeColor="background1"/>
              </w:rPr>
            </w:pPr>
            <w:r w:rsidRPr="00556F25">
              <w:rPr>
                <w:rFonts w:ascii="Times New Roman" w:eastAsia="Times New Roman" w:hAnsi="Times New Roman" w:cs="Times New Roman"/>
                <w:b/>
                <w:color w:val="FFFFFF" w:themeColor="background1"/>
              </w:rPr>
              <w:t>35</w:t>
            </w:r>
            <w:r w:rsidR="008E0F37" w:rsidRPr="00556F25">
              <w:rPr>
                <w:rFonts w:ascii="Times New Roman" w:eastAsia="Times New Roman" w:hAnsi="Times New Roman" w:cs="Times New Roman"/>
                <w:b/>
                <w:color w:val="FFFFFF" w:themeColor="background1"/>
              </w:rPr>
              <w:t>,0</w:t>
            </w:r>
          </w:p>
        </w:tc>
      </w:tr>
      <w:tr w:rsidR="00887CBB" w:rsidTr="00556F25">
        <w:trPr>
          <w:trHeight w:val="315"/>
        </w:trPr>
        <w:tc>
          <w:tcPr>
            <w:tcW w:w="666" w:type="dxa"/>
            <w:vAlign w:val="center"/>
          </w:tcPr>
          <w:p w:rsidR="00887CBB" w:rsidRPr="00DE2929" w:rsidRDefault="00887CBB" w:rsidP="00887CB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128" w:type="dxa"/>
            <w:vAlign w:val="bottom"/>
          </w:tcPr>
          <w:p w:rsidR="00887CBB" w:rsidRPr="00224C33" w:rsidRDefault="00887CBB" w:rsidP="00887CBB">
            <w:pPr>
              <w:rPr>
                <w:rFonts w:ascii="Times New Roman" w:eastAsia="Times New Roman" w:hAnsi="Times New Roman" w:cs="Times New Roman"/>
                <w:b/>
                <w:color w:val="000000"/>
              </w:rPr>
            </w:pPr>
            <w:r w:rsidRPr="00224C33">
              <w:rPr>
                <w:rFonts w:ascii="Times New Roman" w:eastAsia="Times New Roman" w:hAnsi="Times New Roman" w:cs="Times New Roman"/>
                <w:b/>
                <w:color w:val="000000"/>
              </w:rPr>
              <w:t>ПАО «МТС»</w:t>
            </w:r>
          </w:p>
        </w:tc>
        <w:tc>
          <w:tcPr>
            <w:tcW w:w="5551" w:type="dxa"/>
            <w:shd w:val="clear" w:color="auto" w:fill="auto"/>
          </w:tcPr>
          <w:p w:rsidR="00887CBB" w:rsidRPr="00556F25" w:rsidRDefault="008E0F37" w:rsidP="00887CBB">
            <w:pPr>
              <w:jc w:val="center"/>
              <w:rPr>
                <w:rFonts w:ascii="Times New Roman" w:eastAsia="Times New Roman" w:hAnsi="Times New Roman" w:cs="Times New Roman"/>
                <w:b/>
                <w:color w:val="FFFFFF" w:themeColor="background1"/>
              </w:rPr>
            </w:pPr>
            <w:r w:rsidRPr="00556F25">
              <w:rPr>
                <w:rFonts w:ascii="Times New Roman" w:eastAsia="Times New Roman" w:hAnsi="Times New Roman" w:cs="Times New Roman"/>
                <w:b/>
                <w:color w:val="FFFFFF" w:themeColor="background1"/>
              </w:rPr>
              <w:t>25,9</w:t>
            </w:r>
          </w:p>
        </w:tc>
      </w:tr>
      <w:tr w:rsidR="00887CBB" w:rsidRPr="00DE2929" w:rsidTr="00556F25">
        <w:trPr>
          <w:trHeight w:val="315"/>
        </w:trPr>
        <w:tc>
          <w:tcPr>
            <w:tcW w:w="666" w:type="dxa"/>
            <w:vAlign w:val="center"/>
          </w:tcPr>
          <w:p w:rsidR="00887CBB" w:rsidRPr="00DE2929" w:rsidRDefault="00887CBB" w:rsidP="00887CB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128" w:type="dxa"/>
            <w:vAlign w:val="bottom"/>
          </w:tcPr>
          <w:p w:rsidR="00887CBB" w:rsidRPr="00224C33" w:rsidRDefault="00887CBB" w:rsidP="00887CBB">
            <w:pPr>
              <w:rPr>
                <w:rFonts w:ascii="Times New Roman" w:eastAsia="Times New Roman" w:hAnsi="Times New Roman" w:cs="Times New Roman"/>
                <w:b/>
              </w:rPr>
            </w:pPr>
            <w:r w:rsidRPr="00224C33">
              <w:rPr>
                <w:rFonts w:ascii="Times New Roman" w:eastAsia="Times New Roman" w:hAnsi="Times New Roman" w:cs="Times New Roman"/>
                <w:b/>
              </w:rPr>
              <w:t>ПАО «МегаФон»</w:t>
            </w:r>
          </w:p>
        </w:tc>
        <w:tc>
          <w:tcPr>
            <w:tcW w:w="5551" w:type="dxa"/>
            <w:shd w:val="clear" w:color="auto" w:fill="auto"/>
          </w:tcPr>
          <w:p w:rsidR="00887CBB" w:rsidRPr="00556F25" w:rsidRDefault="008E0F37" w:rsidP="00887CBB">
            <w:pPr>
              <w:jc w:val="center"/>
              <w:rPr>
                <w:rFonts w:ascii="Times New Roman" w:eastAsia="Times New Roman" w:hAnsi="Times New Roman" w:cs="Times New Roman"/>
                <w:b/>
                <w:color w:val="FFFFFF" w:themeColor="background1"/>
              </w:rPr>
            </w:pPr>
            <w:r w:rsidRPr="00556F25">
              <w:rPr>
                <w:rFonts w:ascii="Times New Roman" w:eastAsia="Times New Roman" w:hAnsi="Times New Roman" w:cs="Times New Roman"/>
                <w:b/>
                <w:color w:val="FFFFFF" w:themeColor="background1"/>
              </w:rPr>
              <w:t>23,7</w:t>
            </w:r>
          </w:p>
        </w:tc>
      </w:tr>
      <w:tr w:rsidR="00887CBB" w:rsidTr="00556F25">
        <w:trPr>
          <w:trHeight w:val="315"/>
        </w:trPr>
        <w:tc>
          <w:tcPr>
            <w:tcW w:w="666" w:type="dxa"/>
            <w:vAlign w:val="center"/>
          </w:tcPr>
          <w:p w:rsidR="00887CBB" w:rsidRPr="00DE2929" w:rsidRDefault="00887CBB" w:rsidP="00887CB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128" w:type="dxa"/>
            <w:vAlign w:val="bottom"/>
          </w:tcPr>
          <w:p w:rsidR="00887CBB" w:rsidRPr="00224C33" w:rsidRDefault="00887CBB" w:rsidP="00887CBB">
            <w:pPr>
              <w:rPr>
                <w:rFonts w:ascii="Times New Roman" w:eastAsia="Times New Roman" w:hAnsi="Times New Roman" w:cs="Times New Roman"/>
                <w:b/>
                <w:color w:val="000000"/>
              </w:rPr>
            </w:pPr>
            <w:r w:rsidRPr="00224C33">
              <w:rPr>
                <w:rFonts w:ascii="Times New Roman" w:eastAsia="Times New Roman" w:hAnsi="Times New Roman" w:cs="Times New Roman"/>
                <w:b/>
                <w:color w:val="000000"/>
              </w:rPr>
              <w:t xml:space="preserve">ООО «Т2 </w:t>
            </w:r>
            <w:proofErr w:type="spellStart"/>
            <w:r w:rsidRPr="00224C33">
              <w:rPr>
                <w:rFonts w:ascii="Times New Roman" w:eastAsia="Times New Roman" w:hAnsi="Times New Roman" w:cs="Times New Roman"/>
                <w:b/>
                <w:color w:val="000000"/>
              </w:rPr>
              <w:t>Мобайл</w:t>
            </w:r>
            <w:proofErr w:type="spellEnd"/>
            <w:r w:rsidRPr="00224C33">
              <w:rPr>
                <w:rFonts w:ascii="Times New Roman" w:eastAsia="Times New Roman" w:hAnsi="Times New Roman" w:cs="Times New Roman"/>
                <w:b/>
                <w:color w:val="000000"/>
              </w:rPr>
              <w:t>»</w:t>
            </w:r>
          </w:p>
        </w:tc>
        <w:tc>
          <w:tcPr>
            <w:tcW w:w="5551" w:type="dxa"/>
            <w:shd w:val="clear" w:color="auto" w:fill="auto"/>
          </w:tcPr>
          <w:p w:rsidR="00887CBB" w:rsidRPr="00556F25" w:rsidRDefault="00887CBB" w:rsidP="00887CBB">
            <w:pPr>
              <w:jc w:val="center"/>
              <w:rPr>
                <w:rFonts w:ascii="Times New Roman" w:eastAsia="Times New Roman" w:hAnsi="Times New Roman" w:cs="Times New Roman"/>
                <w:b/>
                <w:color w:val="FFFFFF" w:themeColor="background1"/>
              </w:rPr>
            </w:pPr>
            <w:r w:rsidRPr="00556F25">
              <w:rPr>
                <w:rFonts w:ascii="Times New Roman" w:eastAsia="Times New Roman" w:hAnsi="Times New Roman" w:cs="Times New Roman"/>
                <w:b/>
                <w:color w:val="FFFFFF" w:themeColor="background1"/>
              </w:rPr>
              <w:t>14</w:t>
            </w:r>
            <w:r w:rsidR="008E0F37" w:rsidRPr="00556F25">
              <w:rPr>
                <w:rFonts w:ascii="Times New Roman" w:eastAsia="Times New Roman" w:hAnsi="Times New Roman" w:cs="Times New Roman"/>
                <w:b/>
                <w:color w:val="FFFFFF" w:themeColor="background1"/>
              </w:rPr>
              <w:t>,3</w:t>
            </w:r>
          </w:p>
        </w:tc>
      </w:tr>
      <w:tr w:rsidR="00887CBB" w:rsidTr="00556F25">
        <w:trPr>
          <w:trHeight w:val="315"/>
        </w:trPr>
        <w:tc>
          <w:tcPr>
            <w:tcW w:w="666" w:type="dxa"/>
          </w:tcPr>
          <w:p w:rsidR="00887CBB" w:rsidRPr="00DE2929" w:rsidRDefault="00887CBB" w:rsidP="00887CB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3128" w:type="dxa"/>
            <w:vAlign w:val="bottom"/>
          </w:tcPr>
          <w:p w:rsidR="00887CBB" w:rsidRDefault="00887CBB" w:rsidP="00887CBB">
            <w:pPr>
              <w:rPr>
                <w:rFonts w:ascii="Times New Roman" w:eastAsia="Times New Roman" w:hAnsi="Times New Roman" w:cs="Times New Roman"/>
              </w:rPr>
            </w:pPr>
            <w:r>
              <w:rPr>
                <w:rFonts w:ascii="Times New Roman" w:eastAsia="Times New Roman" w:hAnsi="Times New Roman" w:cs="Times New Roman"/>
              </w:rPr>
              <w:t>ООО «Екатеринбург-2000»</w:t>
            </w:r>
          </w:p>
        </w:tc>
        <w:tc>
          <w:tcPr>
            <w:tcW w:w="5551" w:type="dxa"/>
            <w:shd w:val="clear" w:color="auto" w:fill="auto"/>
          </w:tcPr>
          <w:p w:rsidR="00887CBB" w:rsidRPr="00556F25" w:rsidRDefault="00887CBB" w:rsidP="00887CBB">
            <w:pPr>
              <w:jc w:val="center"/>
              <w:rPr>
                <w:rFonts w:ascii="Times New Roman" w:eastAsia="Times New Roman" w:hAnsi="Times New Roman" w:cs="Times New Roman"/>
                <w:color w:val="FFFFFF" w:themeColor="background1"/>
              </w:rPr>
            </w:pPr>
            <w:r w:rsidRPr="00556F25">
              <w:rPr>
                <w:rFonts w:ascii="Times New Roman" w:eastAsia="Times New Roman" w:hAnsi="Times New Roman" w:cs="Times New Roman"/>
                <w:color w:val="FFFFFF" w:themeColor="background1"/>
              </w:rPr>
              <w:t>0,82</w:t>
            </w:r>
          </w:p>
        </w:tc>
      </w:tr>
      <w:tr w:rsidR="00887CBB" w:rsidRPr="00DE2929" w:rsidTr="00556F25">
        <w:trPr>
          <w:trHeight w:val="315"/>
        </w:trPr>
        <w:tc>
          <w:tcPr>
            <w:tcW w:w="666" w:type="dxa"/>
          </w:tcPr>
          <w:p w:rsidR="00887CBB" w:rsidRPr="00DE2929" w:rsidRDefault="00887CBB" w:rsidP="00887CB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128" w:type="dxa"/>
            <w:vAlign w:val="bottom"/>
          </w:tcPr>
          <w:p w:rsidR="00887CBB" w:rsidRPr="00224C33" w:rsidRDefault="00887CBB" w:rsidP="00887CBB">
            <w:pPr>
              <w:rPr>
                <w:rFonts w:ascii="Times New Roman" w:eastAsia="Times New Roman" w:hAnsi="Times New Roman" w:cs="Times New Roman"/>
                <w:color w:val="000000"/>
              </w:rPr>
            </w:pPr>
            <w:r w:rsidRPr="00224C33">
              <w:rPr>
                <w:rFonts w:ascii="Times New Roman" w:eastAsia="Times New Roman" w:hAnsi="Times New Roman" w:cs="Times New Roman"/>
                <w:color w:val="000000"/>
              </w:rPr>
              <w:t>ООО «ТМТ»</w:t>
            </w:r>
          </w:p>
        </w:tc>
        <w:tc>
          <w:tcPr>
            <w:tcW w:w="5551" w:type="dxa"/>
            <w:shd w:val="clear" w:color="auto" w:fill="auto"/>
          </w:tcPr>
          <w:p w:rsidR="00887CBB" w:rsidRPr="00556F25" w:rsidRDefault="00887CBB" w:rsidP="00887CBB">
            <w:pPr>
              <w:jc w:val="center"/>
              <w:rPr>
                <w:rFonts w:ascii="Times New Roman" w:eastAsia="Times New Roman" w:hAnsi="Times New Roman" w:cs="Times New Roman"/>
                <w:color w:val="FFFFFF" w:themeColor="background1"/>
              </w:rPr>
            </w:pPr>
            <w:r w:rsidRPr="00556F25">
              <w:rPr>
                <w:rFonts w:ascii="Times New Roman" w:eastAsia="Times New Roman" w:hAnsi="Times New Roman" w:cs="Times New Roman"/>
                <w:color w:val="FFFFFF" w:themeColor="background1"/>
              </w:rPr>
              <w:t>0,06</w:t>
            </w:r>
          </w:p>
        </w:tc>
      </w:tr>
      <w:tr w:rsidR="00887CBB" w:rsidRPr="00DE2929" w:rsidTr="00556F25">
        <w:trPr>
          <w:trHeight w:val="315"/>
        </w:trPr>
        <w:tc>
          <w:tcPr>
            <w:tcW w:w="666" w:type="dxa"/>
          </w:tcPr>
          <w:p w:rsidR="00887CBB" w:rsidRPr="00DE2929" w:rsidRDefault="00887CBB" w:rsidP="00887CB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3128" w:type="dxa"/>
            <w:vAlign w:val="bottom"/>
          </w:tcPr>
          <w:p w:rsidR="00887CBB" w:rsidRPr="00224C33" w:rsidRDefault="00887CBB" w:rsidP="00887CBB">
            <w:pPr>
              <w:rPr>
                <w:rFonts w:ascii="Times New Roman" w:eastAsia="Times New Roman" w:hAnsi="Times New Roman" w:cs="Times New Roman"/>
                <w:color w:val="000000"/>
              </w:rPr>
            </w:pPr>
            <w:r w:rsidRPr="00224C33">
              <w:rPr>
                <w:rFonts w:ascii="Times New Roman" w:eastAsia="Times New Roman" w:hAnsi="Times New Roman" w:cs="Times New Roman"/>
                <w:color w:val="000000"/>
              </w:rPr>
              <w:t>ПАО «Ростелеком»</w:t>
            </w:r>
          </w:p>
        </w:tc>
        <w:tc>
          <w:tcPr>
            <w:tcW w:w="5551" w:type="dxa"/>
            <w:shd w:val="clear" w:color="auto" w:fill="auto"/>
          </w:tcPr>
          <w:p w:rsidR="00887CBB" w:rsidRPr="00556F25" w:rsidRDefault="00887CBB" w:rsidP="00887CBB">
            <w:pPr>
              <w:jc w:val="center"/>
              <w:rPr>
                <w:rFonts w:ascii="Times New Roman" w:eastAsia="Times New Roman" w:hAnsi="Times New Roman" w:cs="Times New Roman"/>
                <w:color w:val="FFFFFF" w:themeColor="background1"/>
              </w:rPr>
            </w:pPr>
            <w:r w:rsidRPr="00556F25">
              <w:rPr>
                <w:rFonts w:ascii="Times New Roman" w:eastAsia="Times New Roman" w:hAnsi="Times New Roman" w:cs="Times New Roman"/>
                <w:color w:val="FFFFFF" w:themeColor="background1"/>
              </w:rPr>
              <w:t>0,09</w:t>
            </w:r>
          </w:p>
        </w:tc>
      </w:tr>
      <w:tr w:rsidR="00887CBB" w:rsidTr="00556F25">
        <w:trPr>
          <w:trHeight w:val="315"/>
        </w:trPr>
        <w:tc>
          <w:tcPr>
            <w:tcW w:w="666" w:type="dxa"/>
          </w:tcPr>
          <w:p w:rsidR="00887CBB" w:rsidRDefault="00887CBB" w:rsidP="00887CB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3128" w:type="dxa"/>
            <w:vAlign w:val="bottom"/>
          </w:tcPr>
          <w:p w:rsidR="00887CBB" w:rsidRPr="00224C33" w:rsidRDefault="00887CBB" w:rsidP="00887CBB">
            <w:pPr>
              <w:rPr>
                <w:rFonts w:ascii="Times New Roman" w:eastAsia="Times New Roman" w:hAnsi="Times New Roman" w:cs="Times New Roman"/>
              </w:rPr>
            </w:pPr>
            <w:r w:rsidRPr="00224C33">
              <w:rPr>
                <w:rFonts w:ascii="Times New Roman" w:eastAsia="Times New Roman" w:hAnsi="Times New Roman" w:cs="Times New Roman"/>
              </w:rPr>
              <w:t>ООО «К-Телеком»</w:t>
            </w:r>
          </w:p>
        </w:tc>
        <w:tc>
          <w:tcPr>
            <w:tcW w:w="5551" w:type="dxa"/>
            <w:shd w:val="clear" w:color="auto" w:fill="auto"/>
          </w:tcPr>
          <w:p w:rsidR="00887CBB" w:rsidRPr="00556F25" w:rsidRDefault="00887CBB" w:rsidP="00887CBB">
            <w:pPr>
              <w:jc w:val="center"/>
              <w:rPr>
                <w:rFonts w:ascii="Times New Roman" w:eastAsia="Times New Roman" w:hAnsi="Times New Roman" w:cs="Times New Roman"/>
                <w:color w:val="FFFFFF" w:themeColor="background1"/>
              </w:rPr>
            </w:pPr>
            <w:r w:rsidRPr="00556F25">
              <w:rPr>
                <w:rFonts w:ascii="Times New Roman" w:eastAsia="Times New Roman" w:hAnsi="Times New Roman" w:cs="Times New Roman"/>
                <w:color w:val="FFFFFF" w:themeColor="background1"/>
              </w:rPr>
              <w:t>0,02</w:t>
            </w:r>
          </w:p>
        </w:tc>
      </w:tr>
      <w:tr w:rsidR="00887CBB" w:rsidRPr="00DE2929" w:rsidTr="00556F25">
        <w:trPr>
          <w:trHeight w:val="315"/>
        </w:trPr>
        <w:tc>
          <w:tcPr>
            <w:tcW w:w="666" w:type="dxa"/>
          </w:tcPr>
          <w:p w:rsidR="00887CBB" w:rsidRPr="00DE2929" w:rsidRDefault="00887CBB" w:rsidP="00887CB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3128" w:type="dxa"/>
            <w:vAlign w:val="bottom"/>
          </w:tcPr>
          <w:p w:rsidR="00887CBB" w:rsidRPr="00224C33" w:rsidRDefault="00887CBB" w:rsidP="00887CBB">
            <w:pPr>
              <w:rPr>
                <w:rFonts w:ascii="Times New Roman" w:eastAsia="Times New Roman" w:hAnsi="Times New Roman" w:cs="Times New Roman"/>
                <w:color w:val="000000"/>
              </w:rPr>
            </w:pPr>
            <w:r w:rsidRPr="00224C33">
              <w:rPr>
                <w:rFonts w:ascii="Times New Roman" w:eastAsia="Times New Roman" w:hAnsi="Times New Roman" w:cs="Times New Roman"/>
                <w:color w:val="000000"/>
              </w:rPr>
              <w:t>ГУП РК «</w:t>
            </w:r>
            <w:proofErr w:type="spellStart"/>
            <w:r w:rsidRPr="00224C33">
              <w:rPr>
                <w:rFonts w:ascii="Times New Roman" w:eastAsia="Times New Roman" w:hAnsi="Times New Roman" w:cs="Times New Roman"/>
                <w:color w:val="000000"/>
              </w:rPr>
              <w:t>КрымТелеКом</w:t>
            </w:r>
            <w:proofErr w:type="spellEnd"/>
            <w:r w:rsidRPr="00224C33">
              <w:rPr>
                <w:rFonts w:ascii="Times New Roman" w:eastAsia="Times New Roman" w:hAnsi="Times New Roman" w:cs="Times New Roman"/>
                <w:color w:val="000000"/>
              </w:rPr>
              <w:t>»</w:t>
            </w:r>
          </w:p>
        </w:tc>
        <w:tc>
          <w:tcPr>
            <w:tcW w:w="5551" w:type="dxa"/>
            <w:shd w:val="clear" w:color="auto" w:fill="auto"/>
          </w:tcPr>
          <w:p w:rsidR="00887CBB" w:rsidRPr="00556F25" w:rsidRDefault="00887CBB" w:rsidP="00887CBB">
            <w:pPr>
              <w:jc w:val="center"/>
              <w:rPr>
                <w:rFonts w:ascii="Times New Roman" w:eastAsia="Times New Roman" w:hAnsi="Times New Roman" w:cs="Times New Roman"/>
                <w:color w:val="FFFFFF" w:themeColor="background1"/>
              </w:rPr>
            </w:pPr>
            <w:r w:rsidRPr="00556F25">
              <w:rPr>
                <w:rFonts w:ascii="Times New Roman" w:eastAsia="Times New Roman" w:hAnsi="Times New Roman" w:cs="Times New Roman"/>
                <w:color w:val="FFFFFF" w:themeColor="background1"/>
              </w:rPr>
              <w:t>0,002</w:t>
            </w:r>
          </w:p>
        </w:tc>
      </w:tr>
      <w:tr w:rsidR="00887CBB" w:rsidTr="00556F25">
        <w:trPr>
          <w:trHeight w:val="315"/>
        </w:trPr>
        <w:tc>
          <w:tcPr>
            <w:tcW w:w="666" w:type="dxa"/>
          </w:tcPr>
          <w:p w:rsidR="00887CBB" w:rsidRPr="00DE2929" w:rsidRDefault="00887CBB" w:rsidP="00887CBB">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10</w:t>
            </w:r>
          </w:p>
        </w:tc>
        <w:tc>
          <w:tcPr>
            <w:tcW w:w="3128" w:type="dxa"/>
            <w:vAlign w:val="bottom"/>
          </w:tcPr>
          <w:p w:rsidR="00887CBB" w:rsidRDefault="00887CBB" w:rsidP="00887CBB">
            <w:pPr>
              <w:rPr>
                <w:rFonts w:ascii="Times New Roman" w:eastAsia="Times New Roman" w:hAnsi="Times New Roman" w:cs="Times New Roman"/>
                <w:color w:val="000000"/>
              </w:rPr>
            </w:pPr>
            <w:r>
              <w:rPr>
                <w:rFonts w:ascii="Times New Roman" w:eastAsia="Times New Roman" w:hAnsi="Times New Roman" w:cs="Times New Roman"/>
                <w:color w:val="000000"/>
              </w:rPr>
              <w:t>ООО «</w:t>
            </w:r>
            <w:proofErr w:type="spellStart"/>
            <w:r>
              <w:rPr>
                <w:rFonts w:ascii="Times New Roman" w:eastAsia="Times New Roman" w:hAnsi="Times New Roman" w:cs="Times New Roman"/>
                <w:color w:val="000000"/>
              </w:rPr>
              <w:t>СевтелекомСвязь</w:t>
            </w:r>
            <w:proofErr w:type="spellEnd"/>
            <w:r>
              <w:rPr>
                <w:rFonts w:ascii="Times New Roman" w:eastAsia="Times New Roman" w:hAnsi="Times New Roman" w:cs="Times New Roman"/>
                <w:color w:val="000000"/>
              </w:rPr>
              <w:t>»</w:t>
            </w:r>
          </w:p>
        </w:tc>
        <w:tc>
          <w:tcPr>
            <w:tcW w:w="5551" w:type="dxa"/>
            <w:shd w:val="clear" w:color="auto" w:fill="auto"/>
          </w:tcPr>
          <w:p w:rsidR="00887CBB" w:rsidRPr="00556F25" w:rsidRDefault="00887CBB" w:rsidP="00887CBB">
            <w:pPr>
              <w:jc w:val="center"/>
              <w:rPr>
                <w:rFonts w:ascii="Times New Roman" w:eastAsia="Times New Roman" w:hAnsi="Times New Roman" w:cs="Times New Roman"/>
                <w:color w:val="FFFFFF" w:themeColor="background1"/>
              </w:rPr>
            </w:pPr>
            <w:r w:rsidRPr="00556F25">
              <w:rPr>
                <w:rFonts w:ascii="Times New Roman" w:eastAsia="Times New Roman" w:hAnsi="Times New Roman" w:cs="Times New Roman"/>
                <w:color w:val="FFFFFF" w:themeColor="background1"/>
              </w:rPr>
              <w:t>0,003</w:t>
            </w:r>
          </w:p>
        </w:tc>
      </w:tr>
      <w:tr w:rsidR="00887CBB" w:rsidTr="00556F25">
        <w:trPr>
          <w:trHeight w:val="315"/>
        </w:trPr>
        <w:tc>
          <w:tcPr>
            <w:tcW w:w="666" w:type="dxa"/>
          </w:tcPr>
          <w:p w:rsidR="00887CBB" w:rsidRPr="00DE2929" w:rsidRDefault="00887CBB" w:rsidP="00887CB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3128" w:type="dxa"/>
            <w:vAlign w:val="bottom"/>
          </w:tcPr>
          <w:p w:rsidR="00887CBB" w:rsidRPr="00DE2929" w:rsidRDefault="00887CBB" w:rsidP="00887CBB">
            <w:pPr>
              <w:rPr>
                <w:rFonts w:ascii="Times New Roman" w:eastAsia="Times New Roman" w:hAnsi="Times New Roman" w:cs="Times New Roman"/>
              </w:rPr>
            </w:pPr>
            <w:r>
              <w:rPr>
                <w:rFonts w:ascii="Times New Roman" w:eastAsia="Times New Roman" w:hAnsi="Times New Roman" w:cs="Times New Roman"/>
              </w:rPr>
              <w:t>ООО «КТК-Телеком»</w:t>
            </w:r>
          </w:p>
        </w:tc>
        <w:tc>
          <w:tcPr>
            <w:tcW w:w="5551" w:type="dxa"/>
            <w:shd w:val="clear" w:color="auto" w:fill="auto"/>
          </w:tcPr>
          <w:p w:rsidR="00887CBB" w:rsidRPr="00556F25" w:rsidRDefault="00887CBB" w:rsidP="00887CBB">
            <w:pPr>
              <w:jc w:val="center"/>
              <w:rPr>
                <w:rFonts w:ascii="Times New Roman" w:eastAsia="Times New Roman" w:hAnsi="Times New Roman" w:cs="Times New Roman"/>
                <w:color w:val="FFFFFF" w:themeColor="background1"/>
              </w:rPr>
            </w:pPr>
            <w:r w:rsidRPr="00556F25">
              <w:rPr>
                <w:rFonts w:ascii="Times New Roman" w:eastAsia="Times New Roman" w:hAnsi="Times New Roman" w:cs="Times New Roman"/>
                <w:color w:val="FFFFFF" w:themeColor="background1"/>
              </w:rPr>
              <w:t>0,008</w:t>
            </w:r>
          </w:p>
        </w:tc>
      </w:tr>
      <w:tr w:rsidR="00887CBB" w:rsidRPr="00DE2929" w:rsidTr="00556F25">
        <w:trPr>
          <w:trHeight w:val="315"/>
        </w:trPr>
        <w:tc>
          <w:tcPr>
            <w:tcW w:w="666" w:type="dxa"/>
          </w:tcPr>
          <w:p w:rsidR="00887CBB" w:rsidRPr="00DE2929" w:rsidRDefault="00887CBB" w:rsidP="00887CB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128" w:type="dxa"/>
            <w:vAlign w:val="bottom"/>
          </w:tcPr>
          <w:p w:rsidR="00887CBB" w:rsidRDefault="00887CBB" w:rsidP="00887CBB">
            <w:pPr>
              <w:rPr>
                <w:rFonts w:ascii="Times New Roman" w:eastAsia="Times New Roman" w:hAnsi="Times New Roman" w:cs="Times New Roman"/>
              </w:rPr>
            </w:pPr>
            <w:r>
              <w:rPr>
                <w:rFonts w:ascii="Times New Roman" w:eastAsia="Times New Roman" w:hAnsi="Times New Roman" w:cs="Times New Roman"/>
              </w:rPr>
              <w:t>ООО «Сим-Телеком»</w:t>
            </w:r>
          </w:p>
        </w:tc>
        <w:tc>
          <w:tcPr>
            <w:tcW w:w="5551" w:type="dxa"/>
            <w:shd w:val="clear" w:color="auto" w:fill="auto"/>
          </w:tcPr>
          <w:p w:rsidR="00887CBB" w:rsidRPr="00556F25" w:rsidRDefault="00887CBB" w:rsidP="00887CBB">
            <w:pPr>
              <w:jc w:val="center"/>
              <w:rPr>
                <w:rFonts w:ascii="Times New Roman" w:eastAsia="Times New Roman" w:hAnsi="Times New Roman" w:cs="Times New Roman"/>
                <w:color w:val="FFFFFF" w:themeColor="background1"/>
              </w:rPr>
            </w:pPr>
            <w:r w:rsidRPr="00556F25">
              <w:rPr>
                <w:rFonts w:ascii="Times New Roman" w:eastAsia="Times New Roman" w:hAnsi="Times New Roman" w:cs="Times New Roman"/>
                <w:color w:val="FFFFFF" w:themeColor="background1"/>
              </w:rPr>
              <w:t>0,002</w:t>
            </w:r>
          </w:p>
        </w:tc>
      </w:tr>
      <w:tr w:rsidR="00887CBB" w:rsidRPr="00DE2929" w:rsidTr="00556F25">
        <w:trPr>
          <w:trHeight w:val="315"/>
        </w:trPr>
        <w:tc>
          <w:tcPr>
            <w:tcW w:w="666" w:type="dxa"/>
          </w:tcPr>
          <w:p w:rsidR="00887CBB" w:rsidRPr="00DE2929" w:rsidRDefault="00887CBB" w:rsidP="00887CB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3128" w:type="dxa"/>
            <w:vAlign w:val="bottom"/>
          </w:tcPr>
          <w:p w:rsidR="00887CBB" w:rsidRPr="00713FB3" w:rsidRDefault="00887CBB" w:rsidP="00887CBB">
            <w:pPr>
              <w:rPr>
                <w:rFonts w:ascii="Times New Roman" w:eastAsia="Times New Roman" w:hAnsi="Times New Roman" w:cs="Times New Roman"/>
              </w:rPr>
            </w:pPr>
            <w:r>
              <w:rPr>
                <w:rFonts w:ascii="Times New Roman" w:eastAsia="Times New Roman" w:hAnsi="Times New Roman" w:cs="Times New Roman"/>
              </w:rPr>
              <w:t xml:space="preserve">ООО «Тинькофф </w:t>
            </w:r>
            <w:proofErr w:type="spellStart"/>
            <w:r>
              <w:rPr>
                <w:rFonts w:ascii="Times New Roman" w:eastAsia="Times New Roman" w:hAnsi="Times New Roman" w:cs="Times New Roman"/>
              </w:rPr>
              <w:t>Мобайл</w:t>
            </w:r>
            <w:proofErr w:type="spellEnd"/>
            <w:r>
              <w:rPr>
                <w:rFonts w:ascii="Times New Roman" w:eastAsia="Times New Roman" w:hAnsi="Times New Roman" w:cs="Times New Roman"/>
              </w:rPr>
              <w:t>»</w:t>
            </w:r>
          </w:p>
        </w:tc>
        <w:tc>
          <w:tcPr>
            <w:tcW w:w="5551" w:type="dxa"/>
            <w:shd w:val="clear" w:color="auto" w:fill="auto"/>
          </w:tcPr>
          <w:p w:rsidR="00887CBB" w:rsidRPr="00556F25" w:rsidRDefault="00887CBB" w:rsidP="00887CBB">
            <w:pPr>
              <w:jc w:val="center"/>
              <w:rPr>
                <w:rFonts w:ascii="Times New Roman" w:eastAsia="Times New Roman" w:hAnsi="Times New Roman" w:cs="Times New Roman"/>
                <w:color w:val="FFFFFF" w:themeColor="background1"/>
              </w:rPr>
            </w:pPr>
            <w:r w:rsidRPr="00556F25">
              <w:rPr>
                <w:rFonts w:ascii="Times New Roman" w:eastAsia="Times New Roman" w:hAnsi="Times New Roman" w:cs="Times New Roman"/>
                <w:color w:val="FFFFFF" w:themeColor="background1"/>
              </w:rPr>
              <w:t>0,002</w:t>
            </w:r>
          </w:p>
        </w:tc>
      </w:tr>
      <w:tr w:rsidR="00887CBB" w:rsidTr="00556F25">
        <w:trPr>
          <w:trHeight w:val="315"/>
        </w:trPr>
        <w:tc>
          <w:tcPr>
            <w:tcW w:w="666" w:type="dxa"/>
          </w:tcPr>
          <w:p w:rsidR="00887CBB" w:rsidRDefault="00887CBB" w:rsidP="00887CB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3128" w:type="dxa"/>
            <w:vAlign w:val="bottom"/>
          </w:tcPr>
          <w:p w:rsidR="00887CBB" w:rsidRPr="00713FB3" w:rsidRDefault="00887CBB" w:rsidP="00887CBB">
            <w:pPr>
              <w:rPr>
                <w:rFonts w:ascii="Times New Roman" w:eastAsia="Times New Roman" w:hAnsi="Times New Roman" w:cs="Times New Roman"/>
              </w:rPr>
            </w:pPr>
            <w:r>
              <w:rPr>
                <w:rFonts w:ascii="Times New Roman" w:eastAsia="Times New Roman" w:hAnsi="Times New Roman" w:cs="Times New Roman"/>
              </w:rPr>
              <w:t>ООО «Сбербанк-Телеком»</w:t>
            </w:r>
          </w:p>
        </w:tc>
        <w:tc>
          <w:tcPr>
            <w:tcW w:w="5551" w:type="dxa"/>
            <w:shd w:val="clear" w:color="auto" w:fill="auto"/>
          </w:tcPr>
          <w:p w:rsidR="00887CBB" w:rsidRPr="00556F25" w:rsidRDefault="00887CBB" w:rsidP="00887CBB">
            <w:pPr>
              <w:jc w:val="center"/>
              <w:rPr>
                <w:rFonts w:ascii="Times New Roman" w:eastAsia="Times New Roman" w:hAnsi="Times New Roman" w:cs="Times New Roman"/>
                <w:color w:val="FFFFFF" w:themeColor="background1"/>
              </w:rPr>
            </w:pPr>
            <w:r w:rsidRPr="00556F25">
              <w:rPr>
                <w:rFonts w:ascii="Times New Roman" w:eastAsia="Times New Roman" w:hAnsi="Times New Roman" w:cs="Times New Roman"/>
                <w:color w:val="FFFFFF" w:themeColor="background1"/>
              </w:rPr>
              <w:t>0,001</w:t>
            </w:r>
          </w:p>
        </w:tc>
      </w:tr>
      <w:bookmarkEnd w:id="0"/>
    </w:tbl>
    <w:p w:rsidR="00D31594" w:rsidRDefault="00D31594" w:rsidP="00D31594">
      <w:pPr>
        <w:pStyle w:val="ConsPlusNormal"/>
        <w:jc w:val="both"/>
      </w:pPr>
    </w:p>
    <w:p w:rsidR="00D31594" w:rsidRDefault="00D31594" w:rsidP="00D31594">
      <w:pPr>
        <w:pStyle w:val="ConsPlusNormal"/>
        <w:jc w:val="both"/>
      </w:pPr>
    </w:p>
    <w:p w:rsidR="00D31594" w:rsidRDefault="00D31594" w:rsidP="00D31594">
      <w:pPr>
        <w:pStyle w:val="ConsPlusNormal"/>
        <w:ind w:firstLine="540"/>
        <w:jc w:val="both"/>
      </w:pPr>
      <w:r w:rsidRPr="00225908">
        <w:t>6. Определение уров</w:t>
      </w:r>
      <w:r>
        <w:t>ня концентрации товарного рынка по доходу и объемам от услуг подвижной телефонной радиосвязи</w:t>
      </w:r>
    </w:p>
    <w:p w:rsidR="00D31594" w:rsidRPr="00225908" w:rsidRDefault="00D31594" w:rsidP="00D31594">
      <w:pPr>
        <w:pStyle w:val="ConsPlusNormal"/>
        <w:ind w:firstLine="540"/>
        <w:jc w:val="both"/>
      </w:pPr>
    </w:p>
    <w:p w:rsidR="00D31594" w:rsidRPr="00693366" w:rsidRDefault="00D31594" w:rsidP="00D315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693366">
        <w:rPr>
          <w:rFonts w:ascii="Times New Roman" w:hAnsi="Times New Roman" w:cs="Times New Roman"/>
          <w:sz w:val="28"/>
          <w:szCs w:val="28"/>
        </w:rPr>
        <w:t xml:space="preserve">Для определения уровня концентрации товарного рынка </w:t>
      </w:r>
      <w:r>
        <w:rPr>
          <w:rFonts w:ascii="Times New Roman" w:hAnsi="Times New Roman" w:cs="Times New Roman"/>
          <w:sz w:val="28"/>
          <w:szCs w:val="28"/>
        </w:rPr>
        <w:t xml:space="preserve">по доходам от оказанных услуг </w:t>
      </w:r>
      <w:r w:rsidRPr="00693366">
        <w:rPr>
          <w:rFonts w:ascii="Times New Roman" w:hAnsi="Times New Roman" w:cs="Times New Roman"/>
          <w:sz w:val="28"/>
          <w:szCs w:val="28"/>
        </w:rPr>
        <w:t>используются следующие показатели:</w:t>
      </w:r>
    </w:p>
    <w:p w:rsidR="00D31594" w:rsidRPr="00693366" w:rsidRDefault="00D31594" w:rsidP="00D31594">
      <w:pPr>
        <w:spacing w:after="0" w:line="240" w:lineRule="auto"/>
        <w:ind w:firstLine="709"/>
        <w:jc w:val="both"/>
        <w:rPr>
          <w:rFonts w:ascii="Times New Roman" w:hAnsi="Times New Roman" w:cs="Times New Roman"/>
          <w:sz w:val="28"/>
          <w:szCs w:val="28"/>
        </w:rPr>
      </w:pPr>
      <w:r w:rsidRPr="00693366">
        <w:rPr>
          <w:rFonts w:ascii="Times New Roman" w:hAnsi="Times New Roman" w:cs="Times New Roman"/>
          <w:sz w:val="28"/>
          <w:szCs w:val="28"/>
        </w:rPr>
        <w:t>а) коэффициент рыночной концентрации (CR);</w:t>
      </w:r>
    </w:p>
    <w:p w:rsidR="00D31594" w:rsidRPr="00693366" w:rsidRDefault="00D31594" w:rsidP="00D31594">
      <w:pPr>
        <w:spacing w:after="0" w:line="240" w:lineRule="auto"/>
        <w:ind w:firstLine="709"/>
        <w:jc w:val="both"/>
        <w:rPr>
          <w:rFonts w:ascii="Times New Roman" w:hAnsi="Times New Roman" w:cs="Times New Roman"/>
          <w:sz w:val="28"/>
          <w:szCs w:val="28"/>
        </w:rPr>
      </w:pPr>
      <w:r w:rsidRPr="00693366">
        <w:rPr>
          <w:rFonts w:ascii="Times New Roman" w:hAnsi="Times New Roman" w:cs="Times New Roman"/>
          <w:sz w:val="28"/>
          <w:szCs w:val="28"/>
        </w:rPr>
        <w:t xml:space="preserve">б) индекс рыночной концентрации </w:t>
      </w:r>
      <w:proofErr w:type="spellStart"/>
      <w:r w:rsidRPr="00693366">
        <w:rPr>
          <w:rFonts w:ascii="Times New Roman" w:hAnsi="Times New Roman" w:cs="Times New Roman"/>
          <w:sz w:val="28"/>
          <w:szCs w:val="28"/>
        </w:rPr>
        <w:t>Герфиндаля-Гиршмана</w:t>
      </w:r>
      <w:proofErr w:type="spellEnd"/>
      <w:r w:rsidRPr="00693366">
        <w:rPr>
          <w:rFonts w:ascii="Times New Roman" w:hAnsi="Times New Roman" w:cs="Times New Roman"/>
          <w:sz w:val="28"/>
          <w:szCs w:val="28"/>
        </w:rPr>
        <w:t xml:space="preserve"> (HHI).</w:t>
      </w:r>
    </w:p>
    <w:p w:rsidR="00D31594" w:rsidRPr="00907BEE" w:rsidRDefault="00D31594" w:rsidP="00D31594">
      <w:pPr>
        <w:spacing w:after="0" w:line="240" w:lineRule="auto"/>
        <w:ind w:firstLine="708"/>
        <w:jc w:val="both"/>
        <w:rPr>
          <w:rFonts w:ascii="Times New Roman" w:hAnsi="Times New Roman" w:cs="Times New Roman"/>
          <w:sz w:val="28"/>
          <w:szCs w:val="28"/>
        </w:rPr>
      </w:pPr>
      <w:r w:rsidRPr="00907BEE">
        <w:rPr>
          <w:rFonts w:ascii="Times New Roman" w:hAnsi="Times New Roman" w:cs="Times New Roman"/>
          <w:sz w:val="28"/>
          <w:szCs w:val="28"/>
        </w:rPr>
        <w:t>На рынке услуг подвижной радиотелефонной связи на территории Российской Федерации:</w:t>
      </w:r>
    </w:p>
    <w:p w:rsidR="00D31594" w:rsidRPr="00907BEE" w:rsidRDefault="00D31594" w:rsidP="00D31594">
      <w:pPr>
        <w:spacing w:after="0" w:line="240" w:lineRule="auto"/>
        <w:ind w:firstLine="708"/>
        <w:jc w:val="both"/>
        <w:rPr>
          <w:rFonts w:ascii="Times New Roman" w:hAnsi="Times New Roman" w:cs="Times New Roman"/>
          <w:sz w:val="28"/>
          <w:szCs w:val="28"/>
        </w:rPr>
      </w:pPr>
      <w:r w:rsidRPr="00907BEE">
        <w:rPr>
          <w:rFonts w:ascii="Times New Roman" w:hAnsi="Times New Roman" w:cs="Times New Roman"/>
          <w:sz w:val="28"/>
          <w:szCs w:val="28"/>
        </w:rPr>
        <w:t>CR</w:t>
      </w:r>
      <w:r w:rsidRPr="00907BEE">
        <w:rPr>
          <w:rFonts w:ascii="Times New Roman" w:hAnsi="Times New Roman" w:cs="Times New Roman"/>
          <w:sz w:val="28"/>
          <w:szCs w:val="28"/>
          <w:vertAlign w:val="subscript"/>
        </w:rPr>
        <w:t xml:space="preserve">4 </w:t>
      </w:r>
      <w:r w:rsidRPr="0091475A">
        <w:rPr>
          <w:rFonts w:ascii="Times New Roman" w:hAnsi="Times New Roman" w:cs="Times New Roman"/>
          <w:sz w:val="28"/>
          <w:szCs w:val="28"/>
        </w:rPr>
        <w:t xml:space="preserve">= </w:t>
      </w:r>
      <w:r w:rsidR="006F45E1">
        <w:rPr>
          <w:rFonts w:ascii="Times New Roman" w:eastAsia="Times New Roman" w:hAnsi="Times New Roman" w:cs="Times New Roman"/>
          <w:bCs/>
          <w:color w:val="000000"/>
          <w:sz w:val="28"/>
          <w:szCs w:val="28"/>
          <w:lang w:eastAsia="ru-RU"/>
        </w:rPr>
        <w:t>94</w:t>
      </w:r>
      <w:r w:rsidRPr="00907BEE">
        <w:rPr>
          <w:rFonts w:ascii="Times New Roman" w:hAnsi="Times New Roman" w:cs="Times New Roman"/>
          <w:sz w:val="28"/>
          <w:szCs w:val="28"/>
        </w:rPr>
        <w:t xml:space="preserve">; </w:t>
      </w:r>
    </w:p>
    <w:p w:rsidR="00D31594" w:rsidRPr="00907BEE" w:rsidRDefault="00D31594" w:rsidP="00D31594">
      <w:pPr>
        <w:spacing w:after="0" w:line="240" w:lineRule="auto"/>
        <w:ind w:firstLine="708"/>
        <w:jc w:val="both"/>
        <w:rPr>
          <w:rFonts w:ascii="Times New Roman" w:hAnsi="Times New Roman" w:cs="Times New Roman"/>
          <w:sz w:val="28"/>
          <w:szCs w:val="28"/>
        </w:rPr>
      </w:pPr>
      <w:r w:rsidRPr="00907BEE">
        <w:rPr>
          <w:rFonts w:ascii="Times New Roman" w:hAnsi="Times New Roman" w:cs="Times New Roman"/>
          <w:sz w:val="28"/>
          <w:szCs w:val="28"/>
        </w:rPr>
        <w:t xml:space="preserve">HHI = </w:t>
      </w:r>
      <w:r w:rsidR="006F45E1">
        <w:rPr>
          <w:rFonts w:ascii="Times New Roman" w:eastAsia="Times New Roman" w:hAnsi="Times New Roman" w:cs="Times New Roman"/>
          <w:bCs/>
          <w:color w:val="000000"/>
          <w:sz w:val="28"/>
          <w:szCs w:val="28"/>
          <w:lang w:eastAsia="ru-RU"/>
        </w:rPr>
        <w:t>2370</w:t>
      </w:r>
      <w:r w:rsidRPr="00907BEE">
        <w:rPr>
          <w:rFonts w:ascii="Times New Roman" w:hAnsi="Times New Roman" w:cs="Times New Roman"/>
          <w:sz w:val="28"/>
          <w:szCs w:val="28"/>
        </w:rPr>
        <w:t>.</w:t>
      </w:r>
    </w:p>
    <w:p w:rsidR="00D31594" w:rsidRDefault="00D31594" w:rsidP="00D31594">
      <w:pPr>
        <w:spacing w:after="0" w:line="240" w:lineRule="auto"/>
        <w:ind w:firstLine="709"/>
        <w:jc w:val="both"/>
        <w:rPr>
          <w:rFonts w:ascii="Times New Roman" w:hAnsi="Times New Roman" w:cs="Times New Roman"/>
          <w:sz w:val="28"/>
          <w:szCs w:val="28"/>
        </w:rPr>
      </w:pPr>
      <w:r w:rsidRPr="00907BEE">
        <w:rPr>
          <w:rFonts w:ascii="Times New Roman" w:hAnsi="Times New Roman" w:cs="Times New Roman"/>
          <w:sz w:val="28"/>
          <w:szCs w:val="28"/>
        </w:rPr>
        <w:t xml:space="preserve">Расчетные показатели коэффициента рыночной концентрации и индекса </w:t>
      </w:r>
      <w:proofErr w:type="gramStart"/>
      <w:r w:rsidRPr="00907BEE">
        <w:rPr>
          <w:rFonts w:ascii="Times New Roman" w:hAnsi="Times New Roman" w:cs="Times New Roman"/>
          <w:sz w:val="28"/>
          <w:szCs w:val="28"/>
        </w:rPr>
        <w:t xml:space="preserve">рыночной  </w:t>
      </w:r>
      <w:proofErr w:type="spellStart"/>
      <w:r w:rsidRPr="00907BEE">
        <w:rPr>
          <w:rFonts w:ascii="Times New Roman" w:hAnsi="Times New Roman" w:cs="Times New Roman"/>
          <w:sz w:val="28"/>
          <w:szCs w:val="28"/>
        </w:rPr>
        <w:t>концентрацииГерфиндаля</w:t>
      </w:r>
      <w:proofErr w:type="spellEnd"/>
      <w:proofErr w:type="gramEnd"/>
      <w:r w:rsidRPr="00907BEE">
        <w:rPr>
          <w:rFonts w:ascii="Times New Roman" w:hAnsi="Times New Roman" w:cs="Times New Roman"/>
          <w:sz w:val="28"/>
          <w:szCs w:val="28"/>
        </w:rPr>
        <w:t xml:space="preserve"> – </w:t>
      </w:r>
      <w:proofErr w:type="spellStart"/>
      <w:r w:rsidRPr="00907BEE">
        <w:rPr>
          <w:rFonts w:ascii="Times New Roman" w:hAnsi="Times New Roman" w:cs="Times New Roman"/>
          <w:sz w:val="28"/>
          <w:szCs w:val="28"/>
        </w:rPr>
        <w:t>Гиршмана</w:t>
      </w:r>
      <w:proofErr w:type="spellEnd"/>
      <w:r w:rsidRPr="00907BEE">
        <w:rPr>
          <w:rFonts w:ascii="Times New Roman" w:hAnsi="Times New Roman" w:cs="Times New Roman"/>
          <w:sz w:val="28"/>
          <w:szCs w:val="28"/>
        </w:rPr>
        <w:t>:</w:t>
      </w:r>
    </w:p>
    <w:p w:rsidR="00D31594" w:rsidRDefault="00D31594" w:rsidP="00D31594">
      <w:pPr>
        <w:spacing w:after="0" w:line="240" w:lineRule="auto"/>
        <w:jc w:val="both"/>
        <w:rPr>
          <w:rFonts w:ascii="Times New Roman" w:hAnsi="Times New Roman" w:cs="Times New Roman"/>
          <w:sz w:val="28"/>
          <w:szCs w:val="28"/>
        </w:rPr>
      </w:pPr>
    </w:p>
    <w:p w:rsidR="00D31594" w:rsidRPr="00907BEE" w:rsidRDefault="00D31594" w:rsidP="00D31594">
      <w:pPr>
        <w:spacing w:after="0" w:line="240" w:lineRule="auto"/>
        <w:jc w:val="both"/>
        <w:rPr>
          <w:rFonts w:ascii="Times New Roman" w:hAnsi="Times New Roman" w:cs="Times New Roman"/>
          <w:sz w:val="28"/>
          <w:szCs w:val="28"/>
        </w:rPr>
      </w:pPr>
      <w:r w:rsidRPr="00907BEE">
        <w:rPr>
          <w:rFonts w:ascii="Times New Roman" w:hAnsi="Times New Roman" w:cs="Times New Roman"/>
          <w:sz w:val="28"/>
          <w:szCs w:val="28"/>
        </w:rPr>
        <w:t>70% &lt;= CR</w:t>
      </w:r>
      <w:proofErr w:type="gramStart"/>
      <w:r w:rsidRPr="00117161">
        <w:rPr>
          <w:rFonts w:ascii="Times New Roman" w:hAnsi="Times New Roman" w:cs="Times New Roman"/>
          <w:sz w:val="28"/>
          <w:szCs w:val="28"/>
          <w:vertAlign w:val="subscript"/>
        </w:rPr>
        <w:t>4</w:t>
      </w:r>
      <w:r w:rsidRPr="00907BEE">
        <w:rPr>
          <w:rFonts w:ascii="Times New Roman" w:hAnsi="Times New Roman" w:cs="Times New Roman"/>
          <w:sz w:val="28"/>
          <w:szCs w:val="28"/>
        </w:rPr>
        <w:t xml:space="preserve">  (</w:t>
      </w:r>
      <w:proofErr w:type="gramEnd"/>
      <w:r w:rsidRPr="0091475A">
        <w:rPr>
          <w:rFonts w:ascii="Times New Roman" w:eastAsia="Times New Roman" w:hAnsi="Times New Roman" w:cs="Times New Roman"/>
          <w:bCs/>
          <w:color w:val="000000"/>
          <w:sz w:val="28"/>
          <w:szCs w:val="28"/>
          <w:lang w:eastAsia="ru-RU"/>
        </w:rPr>
        <w:t>9</w:t>
      </w:r>
      <w:r w:rsidR="006F45E1">
        <w:rPr>
          <w:rFonts w:ascii="Times New Roman" w:eastAsia="Times New Roman" w:hAnsi="Times New Roman" w:cs="Times New Roman"/>
          <w:bCs/>
          <w:color w:val="000000"/>
          <w:sz w:val="28"/>
          <w:szCs w:val="28"/>
          <w:lang w:eastAsia="ru-RU"/>
        </w:rPr>
        <w:t>4</w:t>
      </w:r>
      <w:r w:rsidRPr="00907BEE">
        <w:rPr>
          <w:rFonts w:ascii="Times New Roman" w:hAnsi="Times New Roman" w:cs="Times New Roman"/>
          <w:sz w:val="28"/>
          <w:szCs w:val="28"/>
        </w:rPr>
        <w:t>%) &lt;= 100%    и   2000&lt;= ННI (</w:t>
      </w:r>
      <w:r w:rsidR="006F45E1">
        <w:rPr>
          <w:rFonts w:ascii="Times New Roman" w:eastAsia="Times New Roman" w:hAnsi="Times New Roman" w:cs="Times New Roman"/>
          <w:bCs/>
          <w:color w:val="000000"/>
          <w:sz w:val="28"/>
          <w:szCs w:val="28"/>
          <w:lang w:eastAsia="ru-RU"/>
        </w:rPr>
        <w:t>2370</w:t>
      </w:r>
      <w:r w:rsidRPr="00907BEE">
        <w:rPr>
          <w:rFonts w:ascii="Times New Roman" w:hAnsi="Times New Roman" w:cs="Times New Roman"/>
          <w:sz w:val="28"/>
          <w:szCs w:val="28"/>
        </w:rPr>
        <w:t xml:space="preserve">) &lt;= 10000  </w:t>
      </w:r>
    </w:p>
    <w:p w:rsidR="00D31594" w:rsidRDefault="00D31594" w:rsidP="00D31594">
      <w:pPr>
        <w:spacing w:after="0" w:line="240" w:lineRule="auto"/>
        <w:jc w:val="both"/>
        <w:rPr>
          <w:rFonts w:ascii="Times New Roman" w:hAnsi="Times New Roman" w:cs="Times New Roman"/>
          <w:sz w:val="28"/>
          <w:szCs w:val="28"/>
        </w:rPr>
      </w:pPr>
    </w:p>
    <w:p w:rsidR="00D31594" w:rsidRDefault="00D31594" w:rsidP="00D31594">
      <w:pPr>
        <w:ind w:firstLine="708"/>
        <w:jc w:val="both"/>
        <w:rPr>
          <w:rFonts w:ascii="Times New Roman" w:hAnsi="Times New Roman" w:cs="Times New Roman"/>
          <w:sz w:val="28"/>
          <w:szCs w:val="28"/>
        </w:rPr>
      </w:pPr>
      <w:r w:rsidRPr="00907BEE">
        <w:rPr>
          <w:rFonts w:ascii="Times New Roman" w:hAnsi="Times New Roman" w:cs="Times New Roman"/>
          <w:sz w:val="28"/>
          <w:szCs w:val="28"/>
        </w:rPr>
        <w:t>По показателям коэффициента рыночной концентрации (CR</w:t>
      </w:r>
      <w:r w:rsidRPr="00117161">
        <w:rPr>
          <w:rFonts w:ascii="Times New Roman" w:hAnsi="Times New Roman" w:cs="Times New Roman"/>
          <w:sz w:val="28"/>
          <w:szCs w:val="28"/>
          <w:vertAlign w:val="subscript"/>
        </w:rPr>
        <w:t>4</w:t>
      </w:r>
      <w:r w:rsidRPr="00907BEE">
        <w:rPr>
          <w:rFonts w:ascii="Times New Roman" w:hAnsi="Times New Roman" w:cs="Times New Roman"/>
          <w:sz w:val="28"/>
          <w:szCs w:val="28"/>
        </w:rPr>
        <w:t xml:space="preserve">&gt;70), индекса рыночной концентрации </w:t>
      </w:r>
      <w:proofErr w:type="spellStart"/>
      <w:r w:rsidRPr="00907BEE">
        <w:rPr>
          <w:rFonts w:ascii="Times New Roman" w:hAnsi="Times New Roman" w:cs="Times New Roman"/>
          <w:sz w:val="28"/>
          <w:szCs w:val="28"/>
        </w:rPr>
        <w:t>Герфиндаля-Гиршмана</w:t>
      </w:r>
      <w:proofErr w:type="spellEnd"/>
      <w:r w:rsidRPr="00907BEE">
        <w:rPr>
          <w:rFonts w:ascii="Times New Roman" w:hAnsi="Times New Roman" w:cs="Times New Roman"/>
          <w:sz w:val="28"/>
          <w:szCs w:val="28"/>
        </w:rPr>
        <w:t xml:space="preserve"> (HHI&gt;2000) рынок услуг </w:t>
      </w:r>
      <w:r>
        <w:rPr>
          <w:rFonts w:ascii="Times New Roman" w:hAnsi="Times New Roman" w:cs="Times New Roman"/>
          <w:sz w:val="28"/>
          <w:szCs w:val="28"/>
        </w:rPr>
        <w:t>подвижной радиотелефонной связи</w:t>
      </w:r>
      <w:r w:rsidRPr="00907BEE">
        <w:rPr>
          <w:rFonts w:ascii="Times New Roman" w:hAnsi="Times New Roman" w:cs="Times New Roman"/>
          <w:sz w:val="28"/>
          <w:szCs w:val="28"/>
        </w:rPr>
        <w:t xml:space="preserve"> на территории </w:t>
      </w:r>
      <w:r>
        <w:rPr>
          <w:rFonts w:ascii="Times New Roman" w:hAnsi="Times New Roman" w:cs="Times New Roman"/>
          <w:sz w:val="28"/>
          <w:szCs w:val="28"/>
        </w:rPr>
        <w:t>Российской Федерации</w:t>
      </w:r>
      <w:r w:rsidRPr="00907BEE">
        <w:rPr>
          <w:rFonts w:ascii="Times New Roman" w:hAnsi="Times New Roman" w:cs="Times New Roman"/>
          <w:sz w:val="28"/>
          <w:szCs w:val="28"/>
        </w:rPr>
        <w:t xml:space="preserve"> относится к товарному рынку с высоким уровнем концентрации.</w:t>
      </w:r>
    </w:p>
    <w:p w:rsidR="00D31594" w:rsidRPr="00693366" w:rsidRDefault="00D31594" w:rsidP="00D315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693366">
        <w:rPr>
          <w:rFonts w:ascii="Times New Roman" w:hAnsi="Times New Roman" w:cs="Times New Roman"/>
          <w:sz w:val="28"/>
          <w:szCs w:val="28"/>
        </w:rPr>
        <w:t xml:space="preserve">Для определения уровня концентрации товарного рынка </w:t>
      </w:r>
      <w:r>
        <w:rPr>
          <w:rFonts w:ascii="Times New Roman" w:hAnsi="Times New Roman" w:cs="Times New Roman"/>
          <w:sz w:val="28"/>
          <w:szCs w:val="28"/>
        </w:rPr>
        <w:t>по объему оказанных голосовых услуг связи посредством подвижной ради</w:t>
      </w:r>
      <w:r w:rsidR="003422B7">
        <w:rPr>
          <w:rFonts w:ascii="Times New Roman" w:hAnsi="Times New Roman" w:cs="Times New Roman"/>
          <w:sz w:val="28"/>
          <w:szCs w:val="28"/>
        </w:rPr>
        <w:t>о</w:t>
      </w:r>
      <w:r>
        <w:rPr>
          <w:rFonts w:ascii="Times New Roman" w:hAnsi="Times New Roman" w:cs="Times New Roman"/>
          <w:sz w:val="28"/>
          <w:szCs w:val="28"/>
        </w:rPr>
        <w:t xml:space="preserve">телефонной связи </w:t>
      </w:r>
      <w:r w:rsidRPr="00693366">
        <w:rPr>
          <w:rFonts w:ascii="Times New Roman" w:hAnsi="Times New Roman" w:cs="Times New Roman"/>
          <w:sz w:val="28"/>
          <w:szCs w:val="28"/>
        </w:rPr>
        <w:t>используются следующие показатели:</w:t>
      </w:r>
    </w:p>
    <w:p w:rsidR="00D31594" w:rsidRPr="00693366" w:rsidRDefault="00D31594" w:rsidP="00D31594">
      <w:pPr>
        <w:spacing w:after="0" w:line="240" w:lineRule="auto"/>
        <w:ind w:firstLine="709"/>
        <w:jc w:val="both"/>
        <w:rPr>
          <w:rFonts w:ascii="Times New Roman" w:hAnsi="Times New Roman" w:cs="Times New Roman"/>
          <w:sz w:val="28"/>
          <w:szCs w:val="28"/>
        </w:rPr>
      </w:pPr>
      <w:r w:rsidRPr="00693366">
        <w:rPr>
          <w:rFonts w:ascii="Times New Roman" w:hAnsi="Times New Roman" w:cs="Times New Roman"/>
          <w:sz w:val="28"/>
          <w:szCs w:val="28"/>
        </w:rPr>
        <w:t>а) коэффициент рыночной концентрации (CR);</w:t>
      </w:r>
    </w:p>
    <w:p w:rsidR="00D31594" w:rsidRPr="00693366" w:rsidRDefault="00D31594" w:rsidP="00D31594">
      <w:pPr>
        <w:spacing w:after="0" w:line="240" w:lineRule="auto"/>
        <w:ind w:firstLine="709"/>
        <w:jc w:val="both"/>
        <w:rPr>
          <w:rFonts w:ascii="Times New Roman" w:hAnsi="Times New Roman" w:cs="Times New Roman"/>
          <w:sz w:val="28"/>
          <w:szCs w:val="28"/>
        </w:rPr>
      </w:pPr>
      <w:r w:rsidRPr="00693366">
        <w:rPr>
          <w:rFonts w:ascii="Times New Roman" w:hAnsi="Times New Roman" w:cs="Times New Roman"/>
          <w:sz w:val="28"/>
          <w:szCs w:val="28"/>
        </w:rPr>
        <w:t xml:space="preserve">б) индекс рыночной концентрации </w:t>
      </w:r>
      <w:proofErr w:type="spellStart"/>
      <w:r w:rsidRPr="00693366">
        <w:rPr>
          <w:rFonts w:ascii="Times New Roman" w:hAnsi="Times New Roman" w:cs="Times New Roman"/>
          <w:sz w:val="28"/>
          <w:szCs w:val="28"/>
        </w:rPr>
        <w:t>Герфиндаля-Гиршмана</w:t>
      </w:r>
      <w:proofErr w:type="spellEnd"/>
      <w:r w:rsidRPr="00693366">
        <w:rPr>
          <w:rFonts w:ascii="Times New Roman" w:hAnsi="Times New Roman" w:cs="Times New Roman"/>
          <w:sz w:val="28"/>
          <w:szCs w:val="28"/>
        </w:rPr>
        <w:t xml:space="preserve"> (HHI).</w:t>
      </w:r>
    </w:p>
    <w:p w:rsidR="00D31594" w:rsidRPr="00907BEE" w:rsidRDefault="00D31594" w:rsidP="00D31594">
      <w:pPr>
        <w:spacing w:after="0" w:line="240" w:lineRule="auto"/>
        <w:ind w:firstLine="708"/>
        <w:jc w:val="both"/>
        <w:rPr>
          <w:rFonts w:ascii="Times New Roman" w:hAnsi="Times New Roman" w:cs="Times New Roman"/>
          <w:sz w:val="28"/>
          <w:szCs w:val="28"/>
        </w:rPr>
      </w:pPr>
      <w:r w:rsidRPr="00907BEE">
        <w:rPr>
          <w:rFonts w:ascii="Times New Roman" w:hAnsi="Times New Roman" w:cs="Times New Roman"/>
          <w:sz w:val="28"/>
          <w:szCs w:val="28"/>
        </w:rPr>
        <w:t>На рынке услуг подвижной радиотелефонной связи на территории Российской Федерации:</w:t>
      </w:r>
    </w:p>
    <w:p w:rsidR="00D31594" w:rsidRPr="00907BEE" w:rsidRDefault="00D31594" w:rsidP="00D31594">
      <w:pPr>
        <w:spacing w:after="0" w:line="240" w:lineRule="auto"/>
        <w:ind w:firstLine="708"/>
        <w:jc w:val="both"/>
        <w:rPr>
          <w:rFonts w:ascii="Times New Roman" w:hAnsi="Times New Roman" w:cs="Times New Roman"/>
          <w:sz w:val="28"/>
          <w:szCs w:val="28"/>
        </w:rPr>
      </w:pPr>
      <w:r w:rsidRPr="00907BEE">
        <w:rPr>
          <w:rFonts w:ascii="Times New Roman" w:hAnsi="Times New Roman" w:cs="Times New Roman"/>
          <w:sz w:val="28"/>
          <w:szCs w:val="28"/>
        </w:rPr>
        <w:t>CR</w:t>
      </w:r>
      <w:r w:rsidRPr="00907BEE">
        <w:rPr>
          <w:rFonts w:ascii="Times New Roman" w:hAnsi="Times New Roman" w:cs="Times New Roman"/>
          <w:sz w:val="28"/>
          <w:szCs w:val="28"/>
          <w:vertAlign w:val="subscript"/>
        </w:rPr>
        <w:t xml:space="preserve">4 </w:t>
      </w:r>
      <w:r w:rsidRPr="0091475A">
        <w:rPr>
          <w:rFonts w:ascii="Times New Roman" w:hAnsi="Times New Roman" w:cs="Times New Roman"/>
          <w:sz w:val="28"/>
          <w:szCs w:val="28"/>
        </w:rPr>
        <w:t xml:space="preserve">= </w:t>
      </w:r>
      <w:r w:rsidRPr="0091475A">
        <w:rPr>
          <w:rFonts w:ascii="Times New Roman" w:eastAsia="Times New Roman" w:hAnsi="Times New Roman" w:cs="Times New Roman"/>
          <w:bCs/>
          <w:color w:val="000000"/>
          <w:sz w:val="28"/>
          <w:szCs w:val="28"/>
          <w:lang w:eastAsia="ru-RU"/>
        </w:rPr>
        <w:t>9</w:t>
      </w:r>
      <w:r w:rsidR="00887CBB">
        <w:rPr>
          <w:rFonts w:ascii="Times New Roman" w:eastAsia="Times New Roman" w:hAnsi="Times New Roman" w:cs="Times New Roman"/>
          <w:bCs/>
          <w:color w:val="000000"/>
          <w:sz w:val="28"/>
          <w:szCs w:val="28"/>
          <w:lang w:eastAsia="ru-RU"/>
        </w:rPr>
        <w:t>6</w:t>
      </w:r>
      <w:r w:rsidRPr="00907BEE">
        <w:rPr>
          <w:rFonts w:ascii="Times New Roman" w:hAnsi="Times New Roman" w:cs="Times New Roman"/>
          <w:sz w:val="28"/>
          <w:szCs w:val="28"/>
        </w:rPr>
        <w:t xml:space="preserve">; </w:t>
      </w:r>
    </w:p>
    <w:p w:rsidR="00D31594" w:rsidRPr="00907BEE" w:rsidRDefault="00D31594" w:rsidP="00D31594">
      <w:pPr>
        <w:spacing w:after="0" w:line="240" w:lineRule="auto"/>
        <w:ind w:firstLine="708"/>
        <w:jc w:val="both"/>
        <w:rPr>
          <w:rFonts w:ascii="Times New Roman" w:hAnsi="Times New Roman" w:cs="Times New Roman"/>
          <w:sz w:val="28"/>
          <w:szCs w:val="28"/>
        </w:rPr>
      </w:pPr>
      <w:r w:rsidRPr="00907BEE">
        <w:rPr>
          <w:rFonts w:ascii="Times New Roman" w:hAnsi="Times New Roman" w:cs="Times New Roman"/>
          <w:sz w:val="28"/>
          <w:szCs w:val="28"/>
        </w:rPr>
        <w:t xml:space="preserve">HHI = </w:t>
      </w:r>
      <w:r w:rsidR="00A061EB">
        <w:rPr>
          <w:rFonts w:ascii="Times New Roman" w:eastAsia="Times New Roman" w:hAnsi="Times New Roman" w:cs="Times New Roman"/>
          <w:bCs/>
          <w:color w:val="000000"/>
          <w:sz w:val="28"/>
          <w:szCs w:val="28"/>
          <w:lang w:eastAsia="ru-RU"/>
        </w:rPr>
        <w:t>2394</w:t>
      </w:r>
      <w:r w:rsidRPr="00907BEE">
        <w:rPr>
          <w:rFonts w:ascii="Times New Roman" w:hAnsi="Times New Roman" w:cs="Times New Roman"/>
          <w:sz w:val="28"/>
          <w:szCs w:val="28"/>
        </w:rPr>
        <w:t>.</w:t>
      </w:r>
    </w:p>
    <w:p w:rsidR="00D31594" w:rsidRDefault="00D31594" w:rsidP="00D31594">
      <w:pPr>
        <w:spacing w:after="0" w:line="240" w:lineRule="auto"/>
        <w:ind w:firstLine="709"/>
        <w:jc w:val="both"/>
        <w:rPr>
          <w:rFonts w:ascii="Times New Roman" w:hAnsi="Times New Roman" w:cs="Times New Roman"/>
          <w:sz w:val="28"/>
          <w:szCs w:val="28"/>
        </w:rPr>
      </w:pPr>
      <w:r w:rsidRPr="00907BEE">
        <w:rPr>
          <w:rFonts w:ascii="Times New Roman" w:hAnsi="Times New Roman" w:cs="Times New Roman"/>
          <w:sz w:val="28"/>
          <w:szCs w:val="28"/>
        </w:rPr>
        <w:t xml:space="preserve">Расчетные показатели коэффициента рыночной концентрации и индекса </w:t>
      </w:r>
      <w:proofErr w:type="gramStart"/>
      <w:r w:rsidRPr="00907BEE">
        <w:rPr>
          <w:rFonts w:ascii="Times New Roman" w:hAnsi="Times New Roman" w:cs="Times New Roman"/>
          <w:sz w:val="28"/>
          <w:szCs w:val="28"/>
        </w:rPr>
        <w:t xml:space="preserve">рыночной  </w:t>
      </w:r>
      <w:proofErr w:type="spellStart"/>
      <w:r w:rsidRPr="00907BEE">
        <w:rPr>
          <w:rFonts w:ascii="Times New Roman" w:hAnsi="Times New Roman" w:cs="Times New Roman"/>
          <w:sz w:val="28"/>
          <w:szCs w:val="28"/>
        </w:rPr>
        <w:t>концентрацииГерфиндаля</w:t>
      </w:r>
      <w:proofErr w:type="spellEnd"/>
      <w:proofErr w:type="gramEnd"/>
      <w:r w:rsidRPr="00907BEE">
        <w:rPr>
          <w:rFonts w:ascii="Times New Roman" w:hAnsi="Times New Roman" w:cs="Times New Roman"/>
          <w:sz w:val="28"/>
          <w:szCs w:val="28"/>
        </w:rPr>
        <w:t xml:space="preserve"> – </w:t>
      </w:r>
      <w:proofErr w:type="spellStart"/>
      <w:r w:rsidRPr="00907BEE">
        <w:rPr>
          <w:rFonts w:ascii="Times New Roman" w:hAnsi="Times New Roman" w:cs="Times New Roman"/>
          <w:sz w:val="28"/>
          <w:szCs w:val="28"/>
        </w:rPr>
        <w:t>Гиршмана</w:t>
      </w:r>
      <w:proofErr w:type="spellEnd"/>
      <w:r w:rsidRPr="00907BEE">
        <w:rPr>
          <w:rFonts w:ascii="Times New Roman" w:hAnsi="Times New Roman" w:cs="Times New Roman"/>
          <w:sz w:val="28"/>
          <w:szCs w:val="28"/>
        </w:rPr>
        <w:t>:</w:t>
      </w:r>
    </w:p>
    <w:p w:rsidR="00D31594" w:rsidRDefault="00D31594" w:rsidP="00D31594">
      <w:pPr>
        <w:spacing w:after="0" w:line="240" w:lineRule="auto"/>
        <w:jc w:val="both"/>
        <w:rPr>
          <w:rFonts w:ascii="Times New Roman" w:hAnsi="Times New Roman" w:cs="Times New Roman"/>
          <w:sz w:val="28"/>
          <w:szCs w:val="28"/>
        </w:rPr>
      </w:pPr>
    </w:p>
    <w:p w:rsidR="00D31594" w:rsidRPr="00907BEE" w:rsidRDefault="00D31594" w:rsidP="00D31594">
      <w:pPr>
        <w:spacing w:after="0" w:line="240" w:lineRule="auto"/>
        <w:jc w:val="both"/>
        <w:rPr>
          <w:rFonts w:ascii="Times New Roman" w:hAnsi="Times New Roman" w:cs="Times New Roman"/>
          <w:sz w:val="28"/>
          <w:szCs w:val="28"/>
        </w:rPr>
      </w:pPr>
      <w:r w:rsidRPr="00907BEE">
        <w:rPr>
          <w:rFonts w:ascii="Times New Roman" w:hAnsi="Times New Roman" w:cs="Times New Roman"/>
          <w:sz w:val="28"/>
          <w:szCs w:val="28"/>
        </w:rPr>
        <w:t>70% &lt;= CR</w:t>
      </w:r>
      <w:proofErr w:type="gramStart"/>
      <w:r w:rsidRPr="00117161">
        <w:rPr>
          <w:rFonts w:ascii="Times New Roman" w:hAnsi="Times New Roman" w:cs="Times New Roman"/>
          <w:sz w:val="28"/>
          <w:szCs w:val="28"/>
          <w:vertAlign w:val="subscript"/>
        </w:rPr>
        <w:t>4</w:t>
      </w:r>
      <w:r w:rsidRPr="00907BEE">
        <w:rPr>
          <w:rFonts w:ascii="Times New Roman" w:hAnsi="Times New Roman" w:cs="Times New Roman"/>
          <w:sz w:val="28"/>
          <w:szCs w:val="28"/>
        </w:rPr>
        <w:t xml:space="preserve">  (</w:t>
      </w:r>
      <w:proofErr w:type="gramEnd"/>
      <w:r w:rsidRPr="0091475A">
        <w:rPr>
          <w:rFonts w:ascii="Times New Roman" w:eastAsia="Times New Roman" w:hAnsi="Times New Roman" w:cs="Times New Roman"/>
          <w:bCs/>
          <w:color w:val="000000"/>
          <w:sz w:val="28"/>
          <w:szCs w:val="28"/>
          <w:lang w:eastAsia="ru-RU"/>
        </w:rPr>
        <w:t>9</w:t>
      </w:r>
      <w:r w:rsidR="00887CBB">
        <w:rPr>
          <w:rFonts w:ascii="Times New Roman" w:eastAsia="Times New Roman" w:hAnsi="Times New Roman" w:cs="Times New Roman"/>
          <w:bCs/>
          <w:color w:val="000000"/>
          <w:sz w:val="28"/>
          <w:szCs w:val="28"/>
          <w:lang w:eastAsia="ru-RU"/>
        </w:rPr>
        <w:t>6</w:t>
      </w:r>
      <w:r w:rsidRPr="00907BEE">
        <w:rPr>
          <w:rFonts w:ascii="Times New Roman" w:hAnsi="Times New Roman" w:cs="Times New Roman"/>
          <w:sz w:val="28"/>
          <w:szCs w:val="28"/>
        </w:rPr>
        <w:t>%) &lt;= 100%    и   2000&lt;= ННI (</w:t>
      </w:r>
      <w:r w:rsidR="00A061EB">
        <w:rPr>
          <w:rFonts w:ascii="Times New Roman" w:eastAsia="Times New Roman" w:hAnsi="Times New Roman" w:cs="Times New Roman"/>
          <w:bCs/>
          <w:color w:val="000000"/>
          <w:sz w:val="28"/>
          <w:szCs w:val="28"/>
          <w:lang w:eastAsia="ru-RU"/>
        </w:rPr>
        <w:t>2394</w:t>
      </w:r>
      <w:r w:rsidRPr="00907BEE">
        <w:rPr>
          <w:rFonts w:ascii="Times New Roman" w:hAnsi="Times New Roman" w:cs="Times New Roman"/>
          <w:sz w:val="28"/>
          <w:szCs w:val="28"/>
        </w:rPr>
        <w:t xml:space="preserve">) &lt;= 10000  </w:t>
      </w:r>
    </w:p>
    <w:p w:rsidR="00D31594" w:rsidRDefault="00D31594" w:rsidP="00D31594">
      <w:pPr>
        <w:spacing w:after="0" w:line="240" w:lineRule="auto"/>
        <w:jc w:val="both"/>
        <w:rPr>
          <w:rFonts w:ascii="Times New Roman" w:hAnsi="Times New Roman" w:cs="Times New Roman"/>
          <w:sz w:val="28"/>
          <w:szCs w:val="28"/>
        </w:rPr>
      </w:pPr>
    </w:p>
    <w:p w:rsidR="00D31594" w:rsidRDefault="00D31594" w:rsidP="00D31594">
      <w:pPr>
        <w:ind w:firstLine="708"/>
        <w:jc w:val="both"/>
        <w:rPr>
          <w:rFonts w:ascii="Times New Roman" w:hAnsi="Times New Roman" w:cs="Times New Roman"/>
          <w:sz w:val="28"/>
          <w:szCs w:val="28"/>
        </w:rPr>
      </w:pPr>
      <w:r w:rsidRPr="00907BEE">
        <w:rPr>
          <w:rFonts w:ascii="Times New Roman" w:hAnsi="Times New Roman" w:cs="Times New Roman"/>
          <w:sz w:val="28"/>
          <w:szCs w:val="28"/>
        </w:rPr>
        <w:t>По показателям коэффициента рыночной концентрации (CR</w:t>
      </w:r>
      <w:r w:rsidRPr="00117161">
        <w:rPr>
          <w:rFonts w:ascii="Times New Roman" w:hAnsi="Times New Roman" w:cs="Times New Roman"/>
          <w:sz w:val="28"/>
          <w:szCs w:val="28"/>
          <w:vertAlign w:val="subscript"/>
        </w:rPr>
        <w:t>4</w:t>
      </w:r>
      <w:r w:rsidRPr="00907BEE">
        <w:rPr>
          <w:rFonts w:ascii="Times New Roman" w:hAnsi="Times New Roman" w:cs="Times New Roman"/>
          <w:sz w:val="28"/>
          <w:szCs w:val="28"/>
        </w:rPr>
        <w:t xml:space="preserve">&gt;70), индекса рыночной концентрации </w:t>
      </w:r>
      <w:proofErr w:type="spellStart"/>
      <w:r w:rsidRPr="00907BEE">
        <w:rPr>
          <w:rFonts w:ascii="Times New Roman" w:hAnsi="Times New Roman" w:cs="Times New Roman"/>
          <w:sz w:val="28"/>
          <w:szCs w:val="28"/>
        </w:rPr>
        <w:t>Герфиндаля-Гиршмана</w:t>
      </w:r>
      <w:proofErr w:type="spellEnd"/>
      <w:r w:rsidRPr="00907BEE">
        <w:rPr>
          <w:rFonts w:ascii="Times New Roman" w:hAnsi="Times New Roman" w:cs="Times New Roman"/>
          <w:sz w:val="28"/>
          <w:szCs w:val="28"/>
        </w:rPr>
        <w:t xml:space="preserve"> (HHI&gt;2000) рынок </w:t>
      </w:r>
      <w:proofErr w:type="spellStart"/>
      <w:r>
        <w:rPr>
          <w:rFonts w:ascii="Times New Roman" w:hAnsi="Times New Roman" w:cs="Times New Roman"/>
          <w:sz w:val="28"/>
          <w:szCs w:val="28"/>
        </w:rPr>
        <w:lastRenderedPageBreak/>
        <w:t>голосовойподвижной</w:t>
      </w:r>
      <w:proofErr w:type="spellEnd"/>
      <w:r>
        <w:rPr>
          <w:rFonts w:ascii="Times New Roman" w:hAnsi="Times New Roman" w:cs="Times New Roman"/>
          <w:sz w:val="28"/>
          <w:szCs w:val="28"/>
        </w:rPr>
        <w:t xml:space="preserve"> радиотелефонной связи</w:t>
      </w:r>
      <w:r w:rsidRPr="00907BEE">
        <w:rPr>
          <w:rFonts w:ascii="Times New Roman" w:hAnsi="Times New Roman" w:cs="Times New Roman"/>
          <w:sz w:val="28"/>
          <w:szCs w:val="28"/>
        </w:rPr>
        <w:t xml:space="preserve"> на территории </w:t>
      </w:r>
      <w:r>
        <w:rPr>
          <w:rFonts w:ascii="Times New Roman" w:hAnsi="Times New Roman" w:cs="Times New Roman"/>
          <w:sz w:val="28"/>
          <w:szCs w:val="28"/>
        </w:rPr>
        <w:t>Российской Федерации</w:t>
      </w:r>
      <w:r w:rsidRPr="00907BEE">
        <w:rPr>
          <w:rFonts w:ascii="Times New Roman" w:hAnsi="Times New Roman" w:cs="Times New Roman"/>
          <w:sz w:val="28"/>
          <w:szCs w:val="28"/>
        </w:rPr>
        <w:t xml:space="preserve"> относится к товарному рынку с высоким уровнем концентрации.</w:t>
      </w:r>
    </w:p>
    <w:p w:rsidR="00D31594" w:rsidRPr="00693366" w:rsidRDefault="00D31594" w:rsidP="00D315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693366">
        <w:rPr>
          <w:rFonts w:ascii="Times New Roman" w:hAnsi="Times New Roman" w:cs="Times New Roman"/>
          <w:sz w:val="28"/>
          <w:szCs w:val="28"/>
        </w:rPr>
        <w:t xml:space="preserve">Для определения уровня концентрации товарного рынка </w:t>
      </w:r>
      <w:r>
        <w:rPr>
          <w:rFonts w:ascii="Times New Roman" w:hAnsi="Times New Roman" w:cs="Times New Roman"/>
          <w:sz w:val="28"/>
          <w:szCs w:val="28"/>
        </w:rPr>
        <w:t xml:space="preserve">по объему оказанных услуг по передаче СМС-сообщений </w:t>
      </w:r>
      <w:r w:rsidRPr="00693366">
        <w:rPr>
          <w:rFonts w:ascii="Times New Roman" w:hAnsi="Times New Roman" w:cs="Times New Roman"/>
          <w:sz w:val="28"/>
          <w:szCs w:val="28"/>
        </w:rPr>
        <w:t>используются следующие показатели:</w:t>
      </w:r>
    </w:p>
    <w:p w:rsidR="00D31594" w:rsidRPr="00693366" w:rsidRDefault="00D31594" w:rsidP="00D31594">
      <w:pPr>
        <w:spacing w:after="0" w:line="240" w:lineRule="auto"/>
        <w:ind w:firstLine="709"/>
        <w:jc w:val="both"/>
        <w:rPr>
          <w:rFonts w:ascii="Times New Roman" w:hAnsi="Times New Roman" w:cs="Times New Roman"/>
          <w:sz w:val="28"/>
          <w:szCs w:val="28"/>
        </w:rPr>
      </w:pPr>
      <w:r w:rsidRPr="00693366">
        <w:rPr>
          <w:rFonts w:ascii="Times New Roman" w:hAnsi="Times New Roman" w:cs="Times New Roman"/>
          <w:sz w:val="28"/>
          <w:szCs w:val="28"/>
        </w:rPr>
        <w:t>а) коэффициент рыночной концентрации (CR);</w:t>
      </w:r>
    </w:p>
    <w:p w:rsidR="00D31594" w:rsidRPr="00693366" w:rsidRDefault="00D31594" w:rsidP="00D31594">
      <w:pPr>
        <w:spacing w:after="0" w:line="240" w:lineRule="auto"/>
        <w:ind w:firstLine="709"/>
        <w:jc w:val="both"/>
        <w:rPr>
          <w:rFonts w:ascii="Times New Roman" w:hAnsi="Times New Roman" w:cs="Times New Roman"/>
          <w:sz w:val="28"/>
          <w:szCs w:val="28"/>
        </w:rPr>
      </w:pPr>
      <w:r w:rsidRPr="00693366">
        <w:rPr>
          <w:rFonts w:ascii="Times New Roman" w:hAnsi="Times New Roman" w:cs="Times New Roman"/>
          <w:sz w:val="28"/>
          <w:szCs w:val="28"/>
        </w:rPr>
        <w:t xml:space="preserve">б) индекс рыночной концентрации </w:t>
      </w:r>
      <w:proofErr w:type="spellStart"/>
      <w:r w:rsidRPr="00693366">
        <w:rPr>
          <w:rFonts w:ascii="Times New Roman" w:hAnsi="Times New Roman" w:cs="Times New Roman"/>
          <w:sz w:val="28"/>
          <w:szCs w:val="28"/>
        </w:rPr>
        <w:t>Герфиндаля-Гиршмана</w:t>
      </w:r>
      <w:proofErr w:type="spellEnd"/>
      <w:r w:rsidRPr="00693366">
        <w:rPr>
          <w:rFonts w:ascii="Times New Roman" w:hAnsi="Times New Roman" w:cs="Times New Roman"/>
          <w:sz w:val="28"/>
          <w:szCs w:val="28"/>
        </w:rPr>
        <w:t xml:space="preserve"> (HHI).</w:t>
      </w:r>
    </w:p>
    <w:p w:rsidR="00D31594" w:rsidRPr="00907BEE" w:rsidRDefault="00D31594" w:rsidP="00D31594">
      <w:pPr>
        <w:spacing w:after="0" w:line="240" w:lineRule="auto"/>
        <w:ind w:firstLine="708"/>
        <w:jc w:val="both"/>
        <w:rPr>
          <w:rFonts w:ascii="Times New Roman" w:hAnsi="Times New Roman" w:cs="Times New Roman"/>
          <w:sz w:val="28"/>
          <w:szCs w:val="28"/>
        </w:rPr>
      </w:pPr>
      <w:r w:rsidRPr="00907BEE">
        <w:rPr>
          <w:rFonts w:ascii="Times New Roman" w:hAnsi="Times New Roman" w:cs="Times New Roman"/>
          <w:sz w:val="28"/>
          <w:szCs w:val="28"/>
        </w:rPr>
        <w:t>На рынке услуг подвижной радиотелефонной связи на территории Российской Федерации:</w:t>
      </w:r>
    </w:p>
    <w:p w:rsidR="00D31594" w:rsidRPr="00907BEE" w:rsidRDefault="00D31594" w:rsidP="00D31594">
      <w:pPr>
        <w:spacing w:after="0" w:line="240" w:lineRule="auto"/>
        <w:ind w:firstLine="708"/>
        <w:jc w:val="both"/>
        <w:rPr>
          <w:rFonts w:ascii="Times New Roman" w:hAnsi="Times New Roman" w:cs="Times New Roman"/>
          <w:sz w:val="28"/>
          <w:szCs w:val="28"/>
        </w:rPr>
      </w:pPr>
      <w:r w:rsidRPr="00907BEE">
        <w:rPr>
          <w:rFonts w:ascii="Times New Roman" w:hAnsi="Times New Roman" w:cs="Times New Roman"/>
          <w:sz w:val="28"/>
          <w:szCs w:val="28"/>
        </w:rPr>
        <w:t>CR</w:t>
      </w:r>
      <w:r w:rsidRPr="00907BEE">
        <w:rPr>
          <w:rFonts w:ascii="Times New Roman" w:hAnsi="Times New Roman" w:cs="Times New Roman"/>
          <w:sz w:val="28"/>
          <w:szCs w:val="28"/>
          <w:vertAlign w:val="subscript"/>
        </w:rPr>
        <w:t xml:space="preserve">4 </w:t>
      </w:r>
      <w:r w:rsidRPr="0091475A">
        <w:rPr>
          <w:rFonts w:ascii="Times New Roman" w:hAnsi="Times New Roman" w:cs="Times New Roman"/>
          <w:sz w:val="28"/>
          <w:szCs w:val="28"/>
        </w:rPr>
        <w:t xml:space="preserve">= </w:t>
      </w:r>
      <w:r w:rsidRPr="0091475A">
        <w:rPr>
          <w:rFonts w:ascii="Times New Roman" w:eastAsia="Times New Roman" w:hAnsi="Times New Roman" w:cs="Times New Roman"/>
          <w:bCs/>
          <w:color w:val="000000"/>
          <w:sz w:val="28"/>
          <w:szCs w:val="28"/>
          <w:lang w:eastAsia="ru-RU"/>
        </w:rPr>
        <w:t>9</w:t>
      </w:r>
      <w:r w:rsidR="00A061EB">
        <w:rPr>
          <w:rFonts w:ascii="Times New Roman" w:eastAsia="Times New Roman" w:hAnsi="Times New Roman" w:cs="Times New Roman"/>
          <w:bCs/>
          <w:color w:val="000000"/>
          <w:sz w:val="28"/>
          <w:szCs w:val="28"/>
          <w:lang w:eastAsia="ru-RU"/>
        </w:rPr>
        <w:t>3</w:t>
      </w:r>
      <w:r w:rsidRPr="00907BEE">
        <w:rPr>
          <w:rFonts w:ascii="Times New Roman" w:hAnsi="Times New Roman" w:cs="Times New Roman"/>
          <w:sz w:val="28"/>
          <w:szCs w:val="28"/>
        </w:rPr>
        <w:t xml:space="preserve">; </w:t>
      </w:r>
    </w:p>
    <w:p w:rsidR="00D31594" w:rsidRPr="00907BEE" w:rsidRDefault="00D31594" w:rsidP="00D31594">
      <w:pPr>
        <w:spacing w:after="0" w:line="240" w:lineRule="auto"/>
        <w:ind w:firstLine="708"/>
        <w:jc w:val="both"/>
        <w:rPr>
          <w:rFonts w:ascii="Times New Roman" w:hAnsi="Times New Roman" w:cs="Times New Roman"/>
          <w:sz w:val="28"/>
          <w:szCs w:val="28"/>
        </w:rPr>
      </w:pPr>
      <w:r w:rsidRPr="00907BEE">
        <w:rPr>
          <w:rFonts w:ascii="Times New Roman" w:hAnsi="Times New Roman" w:cs="Times New Roman"/>
          <w:sz w:val="28"/>
          <w:szCs w:val="28"/>
        </w:rPr>
        <w:t xml:space="preserve">HHI = </w:t>
      </w:r>
      <w:r w:rsidR="00A061EB">
        <w:rPr>
          <w:rFonts w:ascii="Times New Roman" w:eastAsia="Times New Roman" w:hAnsi="Times New Roman" w:cs="Times New Roman"/>
          <w:bCs/>
          <w:color w:val="000000"/>
          <w:sz w:val="28"/>
          <w:szCs w:val="28"/>
          <w:lang w:eastAsia="ru-RU"/>
        </w:rPr>
        <w:t>2301</w:t>
      </w:r>
      <w:r w:rsidRPr="00907BEE">
        <w:rPr>
          <w:rFonts w:ascii="Times New Roman" w:hAnsi="Times New Roman" w:cs="Times New Roman"/>
          <w:sz w:val="28"/>
          <w:szCs w:val="28"/>
        </w:rPr>
        <w:t>.</w:t>
      </w:r>
    </w:p>
    <w:p w:rsidR="00D31594" w:rsidRDefault="00D31594" w:rsidP="00D31594">
      <w:pPr>
        <w:spacing w:after="0" w:line="240" w:lineRule="auto"/>
        <w:ind w:firstLine="709"/>
        <w:jc w:val="both"/>
        <w:rPr>
          <w:rFonts w:ascii="Times New Roman" w:hAnsi="Times New Roman" w:cs="Times New Roman"/>
          <w:sz w:val="28"/>
          <w:szCs w:val="28"/>
        </w:rPr>
      </w:pPr>
      <w:r w:rsidRPr="00907BEE">
        <w:rPr>
          <w:rFonts w:ascii="Times New Roman" w:hAnsi="Times New Roman" w:cs="Times New Roman"/>
          <w:sz w:val="28"/>
          <w:szCs w:val="28"/>
        </w:rPr>
        <w:t xml:space="preserve">Расчетные показатели коэффициента рыночной концентрации и индекса </w:t>
      </w:r>
      <w:proofErr w:type="gramStart"/>
      <w:r w:rsidRPr="00907BEE">
        <w:rPr>
          <w:rFonts w:ascii="Times New Roman" w:hAnsi="Times New Roman" w:cs="Times New Roman"/>
          <w:sz w:val="28"/>
          <w:szCs w:val="28"/>
        </w:rPr>
        <w:t xml:space="preserve">рыночной  </w:t>
      </w:r>
      <w:proofErr w:type="spellStart"/>
      <w:r w:rsidRPr="00907BEE">
        <w:rPr>
          <w:rFonts w:ascii="Times New Roman" w:hAnsi="Times New Roman" w:cs="Times New Roman"/>
          <w:sz w:val="28"/>
          <w:szCs w:val="28"/>
        </w:rPr>
        <w:t>концентрацииГерфиндаля</w:t>
      </w:r>
      <w:proofErr w:type="spellEnd"/>
      <w:proofErr w:type="gramEnd"/>
      <w:r w:rsidRPr="00907BEE">
        <w:rPr>
          <w:rFonts w:ascii="Times New Roman" w:hAnsi="Times New Roman" w:cs="Times New Roman"/>
          <w:sz w:val="28"/>
          <w:szCs w:val="28"/>
        </w:rPr>
        <w:t xml:space="preserve"> – </w:t>
      </w:r>
      <w:proofErr w:type="spellStart"/>
      <w:r w:rsidRPr="00907BEE">
        <w:rPr>
          <w:rFonts w:ascii="Times New Roman" w:hAnsi="Times New Roman" w:cs="Times New Roman"/>
          <w:sz w:val="28"/>
          <w:szCs w:val="28"/>
        </w:rPr>
        <w:t>Гиршмана</w:t>
      </w:r>
      <w:proofErr w:type="spellEnd"/>
      <w:r w:rsidRPr="00907BEE">
        <w:rPr>
          <w:rFonts w:ascii="Times New Roman" w:hAnsi="Times New Roman" w:cs="Times New Roman"/>
          <w:sz w:val="28"/>
          <w:szCs w:val="28"/>
        </w:rPr>
        <w:t>:</w:t>
      </w:r>
    </w:p>
    <w:p w:rsidR="00D31594" w:rsidRDefault="00D31594" w:rsidP="00D31594">
      <w:pPr>
        <w:spacing w:after="0" w:line="240" w:lineRule="auto"/>
        <w:jc w:val="both"/>
        <w:rPr>
          <w:rFonts w:ascii="Times New Roman" w:hAnsi="Times New Roman" w:cs="Times New Roman"/>
          <w:sz w:val="28"/>
          <w:szCs w:val="28"/>
        </w:rPr>
      </w:pPr>
    </w:p>
    <w:p w:rsidR="00D31594" w:rsidRPr="00907BEE" w:rsidRDefault="00D31594" w:rsidP="00D31594">
      <w:pPr>
        <w:spacing w:after="0" w:line="240" w:lineRule="auto"/>
        <w:jc w:val="both"/>
        <w:rPr>
          <w:rFonts w:ascii="Times New Roman" w:hAnsi="Times New Roman" w:cs="Times New Roman"/>
          <w:sz w:val="28"/>
          <w:szCs w:val="28"/>
        </w:rPr>
      </w:pPr>
      <w:r w:rsidRPr="00907BEE">
        <w:rPr>
          <w:rFonts w:ascii="Times New Roman" w:hAnsi="Times New Roman" w:cs="Times New Roman"/>
          <w:sz w:val="28"/>
          <w:szCs w:val="28"/>
        </w:rPr>
        <w:t>70% &lt;= CR</w:t>
      </w:r>
      <w:proofErr w:type="gramStart"/>
      <w:r w:rsidRPr="00117161">
        <w:rPr>
          <w:rFonts w:ascii="Times New Roman" w:hAnsi="Times New Roman" w:cs="Times New Roman"/>
          <w:sz w:val="28"/>
          <w:szCs w:val="28"/>
          <w:vertAlign w:val="subscript"/>
        </w:rPr>
        <w:t>4</w:t>
      </w:r>
      <w:r w:rsidRPr="00907BEE">
        <w:rPr>
          <w:rFonts w:ascii="Times New Roman" w:hAnsi="Times New Roman" w:cs="Times New Roman"/>
          <w:sz w:val="28"/>
          <w:szCs w:val="28"/>
        </w:rPr>
        <w:t xml:space="preserve">  (</w:t>
      </w:r>
      <w:proofErr w:type="gramEnd"/>
      <w:r w:rsidRPr="0091475A">
        <w:rPr>
          <w:rFonts w:ascii="Times New Roman" w:eastAsia="Times New Roman" w:hAnsi="Times New Roman" w:cs="Times New Roman"/>
          <w:bCs/>
          <w:color w:val="000000"/>
          <w:sz w:val="28"/>
          <w:szCs w:val="28"/>
          <w:lang w:eastAsia="ru-RU"/>
        </w:rPr>
        <w:t>9</w:t>
      </w:r>
      <w:r w:rsidR="00A061EB">
        <w:rPr>
          <w:rFonts w:ascii="Times New Roman" w:eastAsia="Times New Roman" w:hAnsi="Times New Roman" w:cs="Times New Roman"/>
          <w:bCs/>
          <w:color w:val="000000"/>
          <w:sz w:val="28"/>
          <w:szCs w:val="28"/>
          <w:lang w:eastAsia="ru-RU"/>
        </w:rPr>
        <w:t>3</w:t>
      </w:r>
      <w:r w:rsidRPr="00907BEE">
        <w:rPr>
          <w:rFonts w:ascii="Times New Roman" w:hAnsi="Times New Roman" w:cs="Times New Roman"/>
          <w:sz w:val="28"/>
          <w:szCs w:val="28"/>
        </w:rPr>
        <w:t>%) &lt;= 100%    и   2000&lt;= ННI (</w:t>
      </w:r>
      <w:r w:rsidR="00A061EB">
        <w:rPr>
          <w:rFonts w:ascii="Times New Roman" w:eastAsia="Times New Roman" w:hAnsi="Times New Roman" w:cs="Times New Roman"/>
          <w:bCs/>
          <w:color w:val="000000"/>
          <w:sz w:val="28"/>
          <w:szCs w:val="28"/>
          <w:lang w:eastAsia="ru-RU"/>
        </w:rPr>
        <w:t>2301</w:t>
      </w:r>
      <w:r w:rsidRPr="00907BEE">
        <w:rPr>
          <w:rFonts w:ascii="Times New Roman" w:hAnsi="Times New Roman" w:cs="Times New Roman"/>
          <w:sz w:val="28"/>
          <w:szCs w:val="28"/>
        </w:rPr>
        <w:t xml:space="preserve">) &lt;= 10000  </w:t>
      </w:r>
    </w:p>
    <w:p w:rsidR="00D31594" w:rsidRDefault="00D31594" w:rsidP="00D31594">
      <w:pPr>
        <w:spacing w:after="0" w:line="240" w:lineRule="auto"/>
        <w:jc w:val="both"/>
        <w:rPr>
          <w:rFonts w:ascii="Times New Roman" w:hAnsi="Times New Roman" w:cs="Times New Roman"/>
          <w:sz w:val="28"/>
          <w:szCs w:val="28"/>
        </w:rPr>
      </w:pPr>
    </w:p>
    <w:p w:rsidR="00D31594" w:rsidRDefault="00D31594" w:rsidP="00D31594">
      <w:pPr>
        <w:ind w:firstLine="708"/>
        <w:jc w:val="both"/>
        <w:rPr>
          <w:rFonts w:ascii="Times New Roman" w:hAnsi="Times New Roman" w:cs="Times New Roman"/>
          <w:sz w:val="28"/>
          <w:szCs w:val="28"/>
        </w:rPr>
      </w:pPr>
      <w:r w:rsidRPr="00907BEE">
        <w:rPr>
          <w:rFonts w:ascii="Times New Roman" w:hAnsi="Times New Roman" w:cs="Times New Roman"/>
          <w:sz w:val="28"/>
          <w:szCs w:val="28"/>
        </w:rPr>
        <w:t>По показателям коэффициента рыночной концентрации (CR</w:t>
      </w:r>
      <w:r w:rsidRPr="00117161">
        <w:rPr>
          <w:rFonts w:ascii="Times New Roman" w:hAnsi="Times New Roman" w:cs="Times New Roman"/>
          <w:sz w:val="28"/>
          <w:szCs w:val="28"/>
          <w:vertAlign w:val="subscript"/>
        </w:rPr>
        <w:t>4</w:t>
      </w:r>
      <w:r w:rsidRPr="00907BEE">
        <w:rPr>
          <w:rFonts w:ascii="Times New Roman" w:hAnsi="Times New Roman" w:cs="Times New Roman"/>
          <w:sz w:val="28"/>
          <w:szCs w:val="28"/>
        </w:rPr>
        <w:t xml:space="preserve">&gt;70), индекса рыночной концентрации </w:t>
      </w:r>
      <w:proofErr w:type="spellStart"/>
      <w:r w:rsidRPr="00907BEE">
        <w:rPr>
          <w:rFonts w:ascii="Times New Roman" w:hAnsi="Times New Roman" w:cs="Times New Roman"/>
          <w:sz w:val="28"/>
          <w:szCs w:val="28"/>
        </w:rPr>
        <w:t>Герфиндаля-Гиршмана</w:t>
      </w:r>
      <w:proofErr w:type="spellEnd"/>
      <w:r w:rsidRPr="00907BEE">
        <w:rPr>
          <w:rFonts w:ascii="Times New Roman" w:hAnsi="Times New Roman" w:cs="Times New Roman"/>
          <w:sz w:val="28"/>
          <w:szCs w:val="28"/>
        </w:rPr>
        <w:t xml:space="preserve"> (HHI&gt;2000) рынок </w:t>
      </w:r>
      <w:r>
        <w:rPr>
          <w:rFonts w:ascii="Times New Roman" w:hAnsi="Times New Roman" w:cs="Times New Roman"/>
          <w:sz w:val="28"/>
          <w:szCs w:val="28"/>
        </w:rPr>
        <w:t>услуг по передаче СМС-сообщений посредством подвижной радиотелефонной связи</w:t>
      </w:r>
      <w:r w:rsidRPr="00907BEE">
        <w:rPr>
          <w:rFonts w:ascii="Times New Roman" w:hAnsi="Times New Roman" w:cs="Times New Roman"/>
          <w:sz w:val="28"/>
          <w:szCs w:val="28"/>
        </w:rPr>
        <w:t xml:space="preserve"> на территории </w:t>
      </w:r>
      <w:r>
        <w:rPr>
          <w:rFonts w:ascii="Times New Roman" w:hAnsi="Times New Roman" w:cs="Times New Roman"/>
          <w:sz w:val="28"/>
          <w:szCs w:val="28"/>
        </w:rPr>
        <w:t>Российской Федерации</w:t>
      </w:r>
      <w:r w:rsidRPr="00907BEE">
        <w:rPr>
          <w:rFonts w:ascii="Times New Roman" w:hAnsi="Times New Roman" w:cs="Times New Roman"/>
          <w:sz w:val="28"/>
          <w:szCs w:val="28"/>
        </w:rPr>
        <w:t xml:space="preserve"> относится к товарному рынку с высоким уровнем концентрации.</w:t>
      </w:r>
    </w:p>
    <w:p w:rsidR="00D31594" w:rsidRPr="00693366" w:rsidRDefault="00D31594" w:rsidP="00D315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693366">
        <w:rPr>
          <w:rFonts w:ascii="Times New Roman" w:hAnsi="Times New Roman" w:cs="Times New Roman"/>
          <w:sz w:val="28"/>
          <w:szCs w:val="28"/>
        </w:rPr>
        <w:t xml:space="preserve">Для определения уровня концентрации товарного рынка </w:t>
      </w:r>
      <w:r>
        <w:rPr>
          <w:rFonts w:ascii="Times New Roman" w:hAnsi="Times New Roman" w:cs="Times New Roman"/>
          <w:sz w:val="28"/>
          <w:szCs w:val="28"/>
        </w:rPr>
        <w:t xml:space="preserve">по объему оказанных услуг по доступу к сети Интернет посредством подвижной телефонной радиосвязи </w:t>
      </w:r>
      <w:r w:rsidRPr="00693366">
        <w:rPr>
          <w:rFonts w:ascii="Times New Roman" w:hAnsi="Times New Roman" w:cs="Times New Roman"/>
          <w:sz w:val="28"/>
          <w:szCs w:val="28"/>
        </w:rPr>
        <w:t>используются следующие показатели:</w:t>
      </w:r>
    </w:p>
    <w:p w:rsidR="00D31594" w:rsidRPr="00693366" w:rsidRDefault="00D31594" w:rsidP="00D31594">
      <w:pPr>
        <w:spacing w:after="0" w:line="240" w:lineRule="auto"/>
        <w:ind w:firstLine="709"/>
        <w:jc w:val="both"/>
        <w:rPr>
          <w:rFonts w:ascii="Times New Roman" w:hAnsi="Times New Roman" w:cs="Times New Roman"/>
          <w:sz w:val="28"/>
          <w:szCs w:val="28"/>
        </w:rPr>
      </w:pPr>
      <w:r w:rsidRPr="00693366">
        <w:rPr>
          <w:rFonts w:ascii="Times New Roman" w:hAnsi="Times New Roman" w:cs="Times New Roman"/>
          <w:sz w:val="28"/>
          <w:szCs w:val="28"/>
        </w:rPr>
        <w:t>а) коэффициент рыночной концентрации (CR);</w:t>
      </w:r>
    </w:p>
    <w:p w:rsidR="00D31594" w:rsidRPr="00693366" w:rsidRDefault="00D31594" w:rsidP="00D31594">
      <w:pPr>
        <w:spacing w:after="0" w:line="240" w:lineRule="auto"/>
        <w:ind w:firstLine="709"/>
        <w:jc w:val="both"/>
        <w:rPr>
          <w:rFonts w:ascii="Times New Roman" w:hAnsi="Times New Roman" w:cs="Times New Roman"/>
          <w:sz w:val="28"/>
          <w:szCs w:val="28"/>
        </w:rPr>
      </w:pPr>
      <w:r w:rsidRPr="00693366">
        <w:rPr>
          <w:rFonts w:ascii="Times New Roman" w:hAnsi="Times New Roman" w:cs="Times New Roman"/>
          <w:sz w:val="28"/>
          <w:szCs w:val="28"/>
        </w:rPr>
        <w:t xml:space="preserve">б) индекс рыночной концентрации </w:t>
      </w:r>
      <w:proofErr w:type="spellStart"/>
      <w:r w:rsidRPr="00693366">
        <w:rPr>
          <w:rFonts w:ascii="Times New Roman" w:hAnsi="Times New Roman" w:cs="Times New Roman"/>
          <w:sz w:val="28"/>
          <w:szCs w:val="28"/>
        </w:rPr>
        <w:t>Герфиндаля-Гиршмана</w:t>
      </w:r>
      <w:proofErr w:type="spellEnd"/>
      <w:r w:rsidRPr="00693366">
        <w:rPr>
          <w:rFonts w:ascii="Times New Roman" w:hAnsi="Times New Roman" w:cs="Times New Roman"/>
          <w:sz w:val="28"/>
          <w:szCs w:val="28"/>
        </w:rPr>
        <w:t xml:space="preserve"> (HHI).</w:t>
      </w:r>
    </w:p>
    <w:p w:rsidR="00D31594" w:rsidRPr="00907BEE" w:rsidRDefault="00D31594" w:rsidP="00D31594">
      <w:pPr>
        <w:spacing w:after="0" w:line="240" w:lineRule="auto"/>
        <w:ind w:firstLine="708"/>
        <w:jc w:val="both"/>
        <w:rPr>
          <w:rFonts w:ascii="Times New Roman" w:hAnsi="Times New Roman" w:cs="Times New Roman"/>
          <w:sz w:val="28"/>
          <w:szCs w:val="28"/>
        </w:rPr>
      </w:pPr>
      <w:r w:rsidRPr="00907BEE">
        <w:rPr>
          <w:rFonts w:ascii="Times New Roman" w:hAnsi="Times New Roman" w:cs="Times New Roman"/>
          <w:sz w:val="28"/>
          <w:szCs w:val="28"/>
        </w:rPr>
        <w:t>На рынке услуг подвижной радиотелефонной связи на территории Российской Федерации:</w:t>
      </w:r>
    </w:p>
    <w:p w:rsidR="00D31594" w:rsidRPr="00907BEE" w:rsidRDefault="00D31594" w:rsidP="00D31594">
      <w:pPr>
        <w:spacing w:after="0" w:line="240" w:lineRule="auto"/>
        <w:ind w:firstLine="708"/>
        <w:jc w:val="both"/>
        <w:rPr>
          <w:rFonts w:ascii="Times New Roman" w:hAnsi="Times New Roman" w:cs="Times New Roman"/>
          <w:sz w:val="28"/>
          <w:szCs w:val="28"/>
        </w:rPr>
      </w:pPr>
      <w:r w:rsidRPr="00907BEE">
        <w:rPr>
          <w:rFonts w:ascii="Times New Roman" w:hAnsi="Times New Roman" w:cs="Times New Roman"/>
          <w:sz w:val="28"/>
          <w:szCs w:val="28"/>
        </w:rPr>
        <w:t>CR</w:t>
      </w:r>
      <w:r w:rsidRPr="00907BEE">
        <w:rPr>
          <w:rFonts w:ascii="Times New Roman" w:hAnsi="Times New Roman" w:cs="Times New Roman"/>
          <w:sz w:val="28"/>
          <w:szCs w:val="28"/>
          <w:vertAlign w:val="subscript"/>
        </w:rPr>
        <w:t xml:space="preserve">4 </w:t>
      </w:r>
      <w:r w:rsidRPr="0091475A">
        <w:rPr>
          <w:rFonts w:ascii="Times New Roman" w:hAnsi="Times New Roman" w:cs="Times New Roman"/>
          <w:sz w:val="28"/>
          <w:szCs w:val="28"/>
        </w:rPr>
        <w:t xml:space="preserve">= </w:t>
      </w:r>
      <w:r w:rsidR="00A061EB">
        <w:rPr>
          <w:rFonts w:ascii="Times New Roman" w:eastAsia="Times New Roman" w:hAnsi="Times New Roman" w:cs="Times New Roman"/>
          <w:bCs/>
          <w:color w:val="000000"/>
          <w:sz w:val="28"/>
          <w:szCs w:val="28"/>
          <w:lang w:eastAsia="ru-RU"/>
        </w:rPr>
        <w:t>88</w:t>
      </w:r>
      <w:r w:rsidRPr="00907BEE">
        <w:rPr>
          <w:rFonts w:ascii="Times New Roman" w:hAnsi="Times New Roman" w:cs="Times New Roman"/>
          <w:sz w:val="28"/>
          <w:szCs w:val="28"/>
        </w:rPr>
        <w:t xml:space="preserve">; </w:t>
      </w:r>
    </w:p>
    <w:p w:rsidR="00D31594" w:rsidRPr="00907BEE" w:rsidRDefault="00D31594" w:rsidP="00D31594">
      <w:pPr>
        <w:spacing w:after="0" w:line="240" w:lineRule="auto"/>
        <w:ind w:firstLine="708"/>
        <w:jc w:val="both"/>
        <w:rPr>
          <w:rFonts w:ascii="Times New Roman" w:hAnsi="Times New Roman" w:cs="Times New Roman"/>
          <w:sz w:val="28"/>
          <w:szCs w:val="28"/>
        </w:rPr>
      </w:pPr>
      <w:r w:rsidRPr="00907BEE">
        <w:rPr>
          <w:rFonts w:ascii="Times New Roman" w:hAnsi="Times New Roman" w:cs="Times New Roman"/>
          <w:sz w:val="28"/>
          <w:szCs w:val="28"/>
        </w:rPr>
        <w:t xml:space="preserve">HHI = </w:t>
      </w:r>
      <w:r w:rsidR="00A061EB">
        <w:rPr>
          <w:rFonts w:ascii="Times New Roman" w:eastAsia="Times New Roman" w:hAnsi="Times New Roman" w:cs="Times New Roman"/>
          <w:bCs/>
          <w:color w:val="000000"/>
          <w:sz w:val="28"/>
          <w:szCs w:val="28"/>
          <w:lang w:eastAsia="ru-RU"/>
        </w:rPr>
        <w:t>2210</w:t>
      </w:r>
      <w:r w:rsidRPr="00907BEE">
        <w:rPr>
          <w:rFonts w:ascii="Times New Roman" w:hAnsi="Times New Roman" w:cs="Times New Roman"/>
          <w:sz w:val="28"/>
          <w:szCs w:val="28"/>
        </w:rPr>
        <w:t>.</w:t>
      </w:r>
    </w:p>
    <w:p w:rsidR="00D31594" w:rsidRDefault="00D31594" w:rsidP="00D31594">
      <w:pPr>
        <w:spacing w:after="0" w:line="240" w:lineRule="auto"/>
        <w:ind w:firstLine="709"/>
        <w:jc w:val="both"/>
        <w:rPr>
          <w:rFonts w:ascii="Times New Roman" w:hAnsi="Times New Roman" w:cs="Times New Roman"/>
          <w:sz w:val="28"/>
          <w:szCs w:val="28"/>
        </w:rPr>
      </w:pPr>
      <w:r w:rsidRPr="00907BEE">
        <w:rPr>
          <w:rFonts w:ascii="Times New Roman" w:hAnsi="Times New Roman" w:cs="Times New Roman"/>
          <w:sz w:val="28"/>
          <w:szCs w:val="28"/>
        </w:rPr>
        <w:t>Расчетные показатели коэффициента рыночной к</w:t>
      </w:r>
      <w:r w:rsidR="00BB1884">
        <w:rPr>
          <w:rFonts w:ascii="Times New Roman" w:hAnsi="Times New Roman" w:cs="Times New Roman"/>
          <w:sz w:val="28"/>
          <w:szCs w:val="28"/>
        </w:rPr>
        <w:t xml:space="preserve">онцентрации и индекса рыночной </w:t>
      </w:r>
      <w:r w:rsidRPr="00907BEE">
        <w:rPr>
          <w:rFonts w:ascii="Times New Roman" w:hAnsi="Times New Roman" w:cs="Times New Roman"/>
          <w:sz w:val="28"/>
          <w:szCs w:val="28"/>
        </w:rPr>
        <w:t>концентрации</w:t>
      </w:r>
      <w:r w:rsidR="00BB1884">
        <w:rPr>
          <w:rFonts w:ascii="Times New Roman" w:hAnsi="Times New Roman" w:cs="Times New Roman"/>
          <w:sz w:val="28"/>
          <w:szCs w:val="28"/>
        </w:rPr>
        <w:t xml:space="preserve"> </w:t>
      </w:r>
      <w:proofErr w:type="spellStart"/>
      <w:r w:rsidRPr="00907BEE">
        <w:rPr>
          <w:rFonts w:ascii="Times New Roman" w:hAnsi="Times New Roman" w:cs="Times New Roman"/>
          <w:sz w:val="28"/>
          <w:szCs w:val="28"/>
        </w:rPr>
        <w:t>Герфиндаля</w:t>
      </w:r>
      <w:proofErr w:type="spellEnd"/>
      <w:r w:rsidRPr="00907BEE">
        <w:rPr>
          <w:rFonts w:ascii="Times New Roman" w:hAnsi="Times New Roman" w:cs="Times New Roman"/>
          <w:sz w:val="28"/>
          <w:szCs w:val="28"/>
        </w:rPr>
        <w:t xml:space="preserve"> – </w:t>
      </w:r>
      <w:proofErr w:type="spellStart"/>
      <w:r w:rsidRPr="00907BEE">
        <w:rPr>
          <w:rFonts w:ascii="Times New Roman" w:hAnsi="Times New Roman" w:cs="Times New Roman"/>
          <w:sz w:val="28"/>
          <w:szCs w:val="28"/>
        </w:rPr>
        <w:t>Гиршмана</w:t>
      </w:r>
      <w:proofErr w:type="spellEnd"/>
      <w:r w:rsidRPr="00907BEE">
        <w:rPr>
          <w:rFonts w:ascii="Times New Roman" w:hAnsi="Times New Roman" w:cs="Times New Roman"/>
          <w:sz w:val="28"/>
          <w:szCs w:val="28"/>
        </w:rPr>
        <w:t>:</w:t>
      </w:r>
    </w:p>
    <w:p w:rsidR="00D31594" w:rsidRDefault="00D31594" w:rsidP="00D31594">
      <w:pPr>
        <w:spacing w:after="0" w:line="240" w:lineRule="auto"/>
        <w:jc w:val="both"/>
        <w:rPr>
          <w:rFonts w:ascii="Times New Roman" w:hAnsi="Times New Roman" w:cs="Times New Roman"/>
          <w:sz w:val="28"/>
          <w:szCs w:val="28"/>
        </w:rPr>
      </w:pPr>
    </w:p>
    <w:p w:rsidR="00D31594" w:rsidRPr="00907BEE" w:rsidRDefault="00D31594" w:rsidP="00D31594">
      <w:pPr>
        <w:spacing w:after="0" w:line="240" w:lineRule="auto"/>
        <w:jc w:val="both"/>
        <w:rPr>
          <w:rFonts w:ascii="Times New Roman" w:hAnsi="Times New Roman" w:cs="Times New Roman"/>
          <w:sz w:val="28"/>
          <w:szCs w:val="28"/>
        </w:rPr>
      </w:pPr>
      <w:r w:rsidRPr="00907BEE">
        <w:rPr>
          <w:rFonts w:ascii="Times New Roman" w:hAnsi="Times New Roman" w:cs="Times New Roman"/>
          <w:sz w:val="28"/>
          <w:szCs w:val="28"/>
        </w:rPr>
        <w:t>70% &lt;= CR</w:t>
      </w:r>
      <w:proofErr w:type="gramStart"/>
      <w:r w:rsidRPr="00117161">
        <w:rPr>
          <w:rFonts w:ascii="Times New Roman" w:hAnsi="Times New Roman" w:cs="Times New Roman"/>
          <w:sz w:val="28"/>
          <w:szCs w:val="28"/>
          <w:vertAlign w:val="subscript"/>
        </w:rPr>
        <w:t>4</w:t>
      </w:r>
      <w:r w:rsidRPr="00907BEE">
        <w:rPr>
          <w:rFonts w:ascii="Times New Roman" w:hAnsi="Times New Roman" w:cs="Times New Roman"/>
          <w:sz w:val="28"/>
          <w:szCs w:val="28"/>
        </w:rPr>
        <w:t xml:space="preserve">  (</w:t>
      </w:r>
      <w:proofErr w:type="gramEnd"/>
      <w:r w:rsidR="00A061EB">
        <w:rPr>
          <w:rFonts w:ascii="Times New Roman" w:eastAsia="Times New Roman" w:hAnsi="Times New Roman" w:cs="Times New Roman"/>
          <w:bCs/>
          <w:color w:val="000000"/>
          <w:sz w:val="28"/>
          <w:szCs w:val="28"/>
          <w:lang w:eastAsia="ru-RU"/>
        </w:rPr>
        <w:t>88</w:t>
      </w:r>
      <w:r w:rsidRPr="00907BEE">
        <w:rPr>
          <w:rFonts w:ascii="Times New Roman" w:hAnsi="Times New Roman" w:cs="Times New Roman"/>
          <w:sz w:val="28"/>
          <w:szCs w:val="28"/>
        </w:rPr>
        <w:t>%) &lt;= 100%    и   2000&lt;= ННI (</w:t>
      </w:r>
      <w:r w:rsidR="00A061EB">
        <w:rPr>
          <w:rFonts w:ascii="Times New Roman" w:eastAsia="Times New Roman" w:hAnsi="Times New Roman" w:cs="Times New Roman"/>
          <w:bCs/>
          <w:color w:val="000000"/>
          <w:sz w:val="28"/>
          <w:szCs w:val="28"/>
          <w:lang w:eastAsia="ru-RU"/>
        </w:rPr>
        <w:t>2210</w:t>
      </w:r>
      <w:r w:rsidRPr="00907BEE">
        <w:rPr>
          <w:rFonts w:ascii="Times New Roman" w:hAnsi="Times New Roman" w:cs="Times New Roman"/>
          <w:sz w:val="28"/>
          <w:szCs w:val="28"/>
        </w:rPr>
        <w:t xml:space="preserve">) &lt;= 10000  </w:t>
      </w:r>
    </w:p>
    <w:p w:rsidR="00D31594" w:rsidRDefault="00D31594" w:rsidP="00D31594">
      <w:pPr>
        <w:spacing w:after="0" w:line="240" w:lineRule="auto"/>
        <w:jc w:val="both"/>
        <w:rPr>
          <w:rFonts w:ascii="Times New Roman" w:hAnsi="Times New Roman" w:cs="Times New Roman"/>
          <w:sz w:val="28"/>
          <w:szCs w:val="28"/>
        </w:rPr>
      </w:pPr>
    </w:p>
    <w:p w:rsidR="00D31594" w:rsidRDefault="00D31594" w:rsidP="00D31594">
      <w:pPr>
        <w:ind w:firstLine="708"/>
        <w:jc w:val="both"/>
        <w:rPr>
          <w:rFonts w:ascii="Times New Roman" w:hAnsi="Times New Roman" w:cs="Times New Roman"/>
          <w:sz w:val="28"/>
          <w:szCs w:val="28"/>
        </w:rPr>
      </w:pPr>
      <w:r w:rsidRPr="00907BEE">
        <w:rPr>
          <w:rFonts w:ascii="Times New Roman" w:hAnsi="Times New Roman" w:cs="Times New Roman"/>
          <w:sz w:val="28"/>
          <w:szCs w:val="28"/>
        </w:rPr>
        <w:t>По показателям коэффициента рыночной концентрации (CR</w:t>
      </w:r>
      <w:r w:rsidRPr="00117161">
        <w:rPr>
          <w:rFonts w:ascii="Times New Roman" w:hAnsi="Times New Roman" w:cs="Times New Roman"/>
          <w:sz w:val="28"/>
          <w:szCs w:val="28"/>
          <w:vertAlign w:val="subscript"/>
        </w:rPr>
        <w:t>4</w:t>
      </w:r>
      <w:r w:rsidRPr="00907BEE">
        <w:rPr>
          <w:rFonts w:ascii="Times New Roman" w:hAnsi="Times New Roman" w:cs="Times New Roman"/>
          <w:sz w:val="28"/>
          <w:szCs w:val="28"/>
        </w:rPr>
        <w:t xml:space="preserve">&gt;70), индекса рыночной концентрации </w:t>
      </w:r>
      <w:proofErr w:type="spellStart"/>
      <w:r w:rsidRPr="00907BEE">
        <w:rPr>
          <w:rFonts w:ascii="Times New Roman" w:hAnsi="Times New Roman" w:cs="Times New Roman"/>
          <w:sz w:val="28"/>
          <w:szCs w:val="28"/>
        </w:rPr>
        <w:t>Герфиндаля-Гиршмана</w:t>
      </w:r>
      <w:proofErr w:type="spellEnd"/>
      <w:r w:rsidRPr="00907BEE">
        <w:rPr>
          <w:rFonts w:ascii="Times New Roman" w:hAnsi="Times New Roman" w:cs="Times New Roman"/>
          <w:sz w:val="28"/>
          <w:szCs w:val="28"/>
        </w:rPr>
        <w:t xml:space="preserve"> (HHI&gt;2000) рынок </w:t>
      </w:r>
      <w:r>
        <w:rPr>
          <w:rFonts w:ascii="Times New Roman" w:hAnsi="Times New Roman" w:cs="Times New Roman"/>
          <w:sz w:val="28"/>
          <w:szCs w:val="28"/>
        </w:rPr>
        <w:t>услуг доступа к сети Интернет посредством подвижной телефонной радиосвязи</w:t>
      </w:r>
      <w:r w:rsidRPr="00907BEE">
        <w:rPr>
          <w:rFonts w:ascii="Times New Roman" w:hAnsi="Times New Roman" w:cs="Times New Roman"/>
          <w:sz w:val="28"/>
          <w:szCs w:val="28"/>
        </w:rPr>
        <w:t xml:space="preserve"> на территории </w:t>
      </w:r>
      <w:r>
        <w:rPr>
          <w:rFonts w:ascii="Times New Roman" w:hAnsi="Times New Roman" w:cs="Times New Roman"/>
          <w:sz w:val="28"/>
          <w:szCs w:val="28"/>
        </w:rPr>
        <w:t>Российской Федерации</w:t>
      </w:r>
      <w:r w:rsidRPr="00907BEE">
        <w:rPr>
          <w:rFonts w:ascii="Times New Roman" w:hAnsi="Times New Roman" w:cs="Times New Roman"/>
          <w:sz w:val="28"/>
          <w:szCs w:val="28"/>
        </w:rPr>
        <w:t xml:space="preserve"> относится к товарному рынку с высоким уровнем концентрации.</w:t>
      </w:r>
    </w:p>
    <w:p w:rsidR="00D31594" w:rsidRDefault="00D31594"/>
    <w:p w:rsidR="00D31594" w:rsidRDefault="00D31594" w:rsidP="00D31594">
      <w:pPr>
        <w:spacing w:line="240" w:lineRule="auto"/>
        <w:ind w:firstLine="900"/>
        <w:jc w:val="both"/>
        <w:rPr>
          <w:rFonts w:ascii="Times New Roman" w:hAnsi="Times New Roman" w:cs="Times New Roman"/>
          <w:b/>
          <w:sz w:val="28"/>
          <w:szCs w:val="28"/>
        </w:rPr>
      </w:pPr>
      <w:r w:rsidRPr="00907BEE">
        <w:rPr>
          <w:rFonts w:ascii="Times New Roman" w:hAnsi="Times New Roman" w:cs="Times New Roman"/>
          <w:b/>
          <w:sz w:val="28"/>
          <w:szCs w:val="28"/>
        </w:rPr>
        <w:lastRenderedPageBreak/>
        <w:t>7. Определение барьеров входа на товарный рынок.</w:t>
      </w:r>
    </w:p>
    <w:p w:rsidR="00D31594" w:rsidRPr="00AB14B4" w:rsidRDefault="00D31594" w:rsidP="00D31594">
      <w:pPr>
        <w:spacing w:after="0" w:line="240" w:lineRule="auto"/>
        <w:ind w:firstLine="709"/>
        <w:jc w:val="both"/>
        <w:rPr>
          <w:rFonts w:ascii="Times New Roman" w:hAnsi="Times New Roman" w:cs="Times New Roman"/>
          <w:sz w:val="28"/>
          <w:szCs w:val="28"/>
        </w:rPr>
      </w:pPr>
      <w:r w:rsidRPr="00AB14B4">
        <w:rPr>
          <w:rFonts w:ascii="Times New Roman" w:hAnsi="Times New Roman" w:cs="Times New Roman"/>
          <w:sz w:val="28"/>
          <w:szCs w:val="28"/>
        </w:rPr>
        <w:t>К барьерам входа на товарный рынок относятся:</w:t>
      </w:r>
    </w:p>
    <w:p w:rsidR="00D31594" w:rsidRPr="00AB14B4" w:rsidRDefault="00D31594" w:rsidP="00D31594">
      <w:pPr>
        <w:spacing w:after="0" w:line="240" w:lineRule="auto"/>
        <w:ind w:firstLine="709"/>
        <w:jc w:val="both"/>
        <w:rPr>
          <w:rFonts w:ascii="Times New Roman" w:hAnsi="Times New Roman" w:cs="Times New Roman"/>
          <w:sz w:val="28"/>
          <w:szCs w:val="28"/>
        </w:rPr>
      </w:pPr>
      <w:r w:rsidRPr="00AB14B4">
        <w:rPr>
          <w:rFonts w:ascii="Times New Roman" w:hAnsi="Times New Roman" w:cs="Times New Roman"/>
          <w:sz w:val="28"/>
          <w:szCs w:val="28"/>
        </w:rPr>
        <w:t>1) экономические ограничения, в том числе:</w:t>
      </w:r>
    </w:p>
    <w:p w:rsidR="00D31594" w:rsidRPr="00AB14B4" w:rsidRDefault="00D31594" w:rsidP="00D31594">
      <w:pPr>
        <w:spacing w:after="0" w:line="240" w:lineRule="auto"/>
        <w:ind w:firstLine="709"/>
        <w:jc w:val="both"/>
        <w:rPr>
          <w:rFonts w:ascii="Times New Roman" w:hAnsi="Times New Roman" w:cs="Times New Roman"/>
          <w:sz w:val="28"/>
          <w:szCs w:val="28"/>
        </w:rPr>
      </w:pPr>
      <w:r w:rsidRPr="00AB14B4">
        <w:rPr>
          <w:rFonts w:ascii="Times New Roman" w:hAnsi="Times New Roman" w:cs="Times New Roman"/>
          <w:sz w:val="28"/>
          <w:szCs w:val="28"/>
        </w:rPr>
        <w:t xml:space="preserve">- необходимость осуществления значительных первоначальных капитальных вложений при длительных сроках окупаемости этих вложений (проектирование и строительство сетей связи, </w:t>
      </w:r>
      <w:r w:rsidRPr="000F12FE">
        <w:rPr>
          <w:rFonts w:ascii="Times New Roman" w:hAnsi="Times New Roman" w:cs="Times New Roman"/>
          <w:sz w:val="28"/>
          <w:szCs w:val="28"/>
        </w:rPr>
        <w:t xml:space="preserve">плата </w:t>
      </w:r>
      <w:r w:rsidR="000A3735" w:rsidRPr="000F12FE">
        <w:rPr>
          <w:rFonts w:ascii="Times New Roman" w:hAnsi="Times New Roman" w:cs="Times New Roman"/>
          <w:sz w:val="28"/>
          <w:szCs w:val="28"/>
        </w:rPr>
        <w:t>за право получения радиочастотного спектра (в случае, когда такое право предоставляется по результатам аукциона</w:t>
      </w:r>
      <w:r w:rsidR="000A3735">
        <w:rPr>
          <w:rFonts w:ascii="Times New Roman" w:hAnsi="Times New Roman" w:cs="Times New Roman"/>
          <w:sz w:val="28"/>
          <w:szCs w:val="28"/>
        </w:rPr>
        <w:t xml:space="preserve">), плата </w:t>
      </w:r>
      <w:r w:rsidRPr="00AB14B4">
        <w:rPr>
          <w:rFonts w:ascii="Times New Roman" w:hAnsi="Times New Roman" w:cs="Times New Roman"/>
          <w:sz w:val="28"/>
          <w:szCs w:val="28"/>
        </w:rPr>
        <w:t xml:space="preserve">за пользование радиочастотным спектром);  </w:t>
      </w:r>
    </w:p>
    <w:p w:rsidR="00D31594" w:rsidRDefault="00D31594" w:rsidP="00D31594">
      <w:pPr>
        <w:spacing w:after="0" w:line="240" w:lineRule="auto"/>
        <w:ind w:firstLine="709"/>
        <w:jc w:val="both"/>
        <w:rPr>
          <w:rFonts w:ascii="Times New Roman" w:hAnsi="Times New Roman" w:cs="Times New Roman"/>
          <w:sz w:val="28"/>
          <w:szCs w:val="28"/>
        </w:rPr>
      </w:pPr>
      <w:r w:rsidRPr="00AB14B4">
        <w:rPr>
          <w:rFonts w:ascii="Times New Roman" w:hAnsi="Times New Roman" w:cs="Times New Roman"/>
          <w:sz w:val="28"/>
          <w:szCs w:val="28"/>
        </w:rPr>
        <w:t>2) административные ограничения, в том числе:</w:t>
      </w:r>
    </w:p>
    <w:p w:rsidR="00E826A2" w:rsidRPr="00AB14B4" w:rsidRDefault="00E826A2" w:rsidP="00D31594">
      <w:pPr>
        <w:spacing w:after="0" w:line="240" w:lineRule="auto"/>
        <w:ind w:firstLine="709"/>
        <w:jc w:val="both"/>
        <w:rPr>
          <w:rFonts w:ascii="Times New Roman" w:hAnsi="Times New Roman" w:cs="Times New Roman"/>
          <w:sz w:val="28"/>
          <w:szCs w:val="28"/>
        </w:rPr>
      </w:pPr>
      <w:r w:rsidRPr="00A95B4E">
        <w:rPr>
          <w:rFonts w:ascii="Times New Roman" w:hAnsi="Times New Roman" w:cs="Times New Roman"/>
          <w:sz w:val="28"/>
          <w:szCs w:val="28"/>
        </w:rPr>
        <w:t>- использование ограниченного ресурса – радиочастотного спектра;</w:t>
      </w:r>
    </w:p>
    <w:p w:rsidR="00D31594" w:rsidRPr="00AB14B4" w:rsidRDefault="00D31594" w:rsidP="00D31594">
      <w:pPr>
        <w:spacing w:after="0" w:line="240" w:lineRule="auto"/>
        <w:ind w:firstLine="709"/>
        <w:jc w:val="both"/>
        <w:rPr>
          <w:rFonts w:ascii="Times New Roman" w:hAnsi="Times New Roman" w:cs="Times New Roman"/>
          <w:sz w:val="28"/>
          <w:szCs w:val="28"/>
        </w:rPr>
      </w:pPr>
      <w:r w:rsidRPr="00AB14B4">
        <w:rPr>
          <w:rFonts w:ascii="Times New Roman" w:hAnsi="Times New Roman" w:cs="Times New Roman"/>
          <w:sz w:val="28"/>
          <w:szCs w:val="28"/>
        </w:rPr>
        <w:t>- лицензирование деятельности в сфере услуг связи;</w:t>
      </w:r>
    </w:p>
    <w:p w:rsidR="00D31594" w:rsidRDefault="00D31594" w:rsidP="00D31594">
      <w:pPr>
        <w:spacing w:after="0" w:line="240" w:lineRule="auto"/>
        <w:ind w:firstLine="709"/>
        <w:jc w:val="both"/>
        <w:rPr>
          <w:rFonts w:ascii="Times New Roman" w:hAnsi="Times New Roman" w:cs="Times New Roman"/>
          <w:sz w:val="28"/>
          <w:szCs w:val="28"/>
        </w:rPr>
      </w:pPr>
      <w:r w:rsidRPr="00AB14B4">
        <w:rPr>
          <w:rFonts w:ascii="Times New Roman" w:hAnsi="Times New Roman" w:cs="Times New Roman"/>
          <w:sz w:val="28"/>
          <w:szCs w:val="28"/>
        </w:rPr>
        <w:t>- процедуры ввода сети связи в эксплуатацию</w:t>
      </w:r>
      <w:r>
        <w:rPr>
          <w:rFonts w:ascii="Times New Roman" w:hAnsi="Times New Roman" w:cs="Times New Roman"/>
          <w:sz w:val="28"/>
          <w:szCs w:val="28"/>
        </w:rPr>
        <w:t>;</w:t>
      </w:r>
    </w:p>
    <w:p w:rsidR="00D31594" w:rsidRPr="00B74B74" w:rsidRDefault="00D31594" w:rsidP="00D31594">
      <w:pPr>
        <w:spacing w:after="0" w:line="240" w:lineRule="auto"/>
        <w:ind w:firstLine="709"/>
        <w:jc w:val="both"/>
        <w:rPr>
          <w:rFonts w:ascii="Times New Roman" w:hAnsi="Times New Roman" w:cs="Times New Roman"/>
          <w:sz w:val="28"/>
          <w:szCs w:val="28"/>
        </w:rPr>
      </w:pPr>
      <w:r w:rsidRPr="00B74B74">
        <w:rPr>
          <w:rFonts w:ascii="Times New Roman" w:hAnsi="Times New Roman" w:cs="Times New Roman"/>
          <w:sz w:val="28"/>
          <w:szCs w:val="28"/>
        </w:rPr>
        <w:t>- получение разрешений, связанных со строительством сетей.</w:t>
      </w:r>
    </w:p>
    <w:p w:rsidR="00D31594" w:rsidRPr="00383436" w:rsidRDefault="00D31594" w:rsidP="00D31594">
      <w:pPr>
        <w:spacing w:after="0" w:line="240" w:lineRule="auto"/>
        <w:ind w:firstLine="709"/>
        <w:jc w:val="both"/>
        <w:rPr>
          <w:rFonts w:ascii="Times New Roman" w:hAnsi="Times New Roman" w:cs="Times New Roman"/>
          <w:b/>
          <w:sz w:val="28"/>
          <w:szCs w:val="28"/>
        </w:rPr>
      </w:pPr>
    </w:p>
    <w:p w:rsidR="00D31594" w:rsidRPr="00383436" w:rsidRDefault="00D31594" w:rsidP="00B079E7">
      <w:pPr>
        <w:spacing w:after="0" w:line="240" w:lineRule="auto"/>
        <w:ind w:firstLine="709"/>
        <w:jc w:val="both"/>
        <w:rPr>
          <w:rFonts w:ascii="Times New Roman" w:hAnsi="Times New Roman" w:cs="Times New Roman"/>
          <w:b/>
          <w:sz w:val="28"/>
          <w:szCs w:val="28"/>
        </w:rPr>
      </w:pPr>
      <w:r w:rsidRPr="00383436">
        <w:rPr>
          <w:rFonts w:ascii="Times New Roman" w:hAnsi="Times New Roman" w:cs="Times New Roman"/>
          <w:b/>
          <w:sz w:val="28"/>
          <w:szCs w:val="28"/>
        </w:rPr>
        <w:t>8. Оценка состояния конкурентной среды на товарном рынке. Установление доминирующего положения хозяйствующих субъектов.</w:t>
      </w:r>
    </w:p>
    <w:p w:rsidR="00D31594" w:rsidRPr="00383436" w:rsidRDefault="00D31594" w:rsidP="00B079E7">
      <w:pPr>
        <w:spacing w:after="0" w:line="240" w:lineRule="auto"/>
        <w:ind w:firstLine="709"/>
        <w:jc w:val="both"/>
        <w:rPr>
          <w:rFonts w:ascii="Times New Roman" w:hAnsi="Times New Roman" w:cs="Times New Roman"/>
          <w:b/>
          <w:sz w:val="28"/>
          <w:szCs w:val="28"/>
        </w:rPr>
      </w:pPr>
    </w:p>
    <w:p w:rsidR="00D31594" w:rsidRDefault="00D31594" w:rsidP="00B079E7">
      <w:pPr>
        <w:spacing w:after="0"/>
        <w:ind w:firstLine="708"/>
        <w:jc w:val="both"/>
        <w:rPr>
          <w:rFonts w:ascii="Times New Roman" w:hAnsi="Times New Roman" w:cs="Times New Roman"/>
          <w:sz w:val="28"/>
          <w:szCs w:val="28"/>
        </w:rPr>
      </w:pPr>
      <w:r w:rsidRPr="00383436">
        <w:rPr>
          <w:rFonts w:ascii="Times New Roman" w:hAnsi="Times New Roman" w:cs="Times New Roman"/>
          <w:sz w:val="28"/>
          <w:szCs w:val="28"/>
        </w:rPr>
        <w:t xml:space="preserve">Учитывая, что рынок услуг подвижной радиотелефонной связи на территории Российской Федерации относится к товарному рынку с высоким уровнем концентрации, а также </w:t>
      </w:r>
      <w:r w:rsidR="00E14BED">
        <w:rPr>
          <w:rFonts w:ascii="Times New Roman" w:hAnsi="Times New Roman" w:cs="Times New Roman"/>
          <w:sz w:val="28"/>
          <w:szCs w:val="28"/>
        </w:rPr>
        <w:t xml:space="preserve">учитывая </w:t>
      </w:r>
      <w:r w:rsidRPr="00383436">
        <w:rPr>
          <w:rFonts w:ascii="Times New Roman" w:hAnsi="Times New Roman" w:cs="Times New Roman"/>
          <w:sz w:val="28"/>
          <w:szCs w:val="28"/>
        </w:rPr>
        <w:t xml:space="preserve">наличие высоких барьеров входа на товарный рынок, </w:t>
      </w:r>
      <w:r>
        <w:rPr>
          <w:rFonts w:ascii="Times New Roman" w:hAnsi="Times New Roman" w:cs="Times New Roman"/>
          <w:sz w:val="28"/>
          <w:szCs w:val="28"/>
        </w:rPr>
        <w:t xml:space="preserve">данный товарный </w:t>
      </w:r>
      <w:r w:rsidRPr="00383436">
        <w:rPr>
          <w:rFonts w:ascii="Times New Roman" w:hAnsi="Times New Roman" w:cs="Times New Roman"/>
          <w:sz w:val="28"/>
          <w:szCs w:val="28"/>
        </w:rPr>
        <w:t>рынок относится к рынку с недостаточно развитой конкуренцией.</w:t>
      </w:r>
    </w:p>
    <w:p w:rsidR="00D31594" w:rsidRPr="00F912A0" w:rsidRDefault="00D31594" w:rsidP="00B079E7">
      <w:pPr>
        <w:pStyle w:val="ConsPlusNormal"/>
        <w:ind w:firstLine="540"/>
        <w:jc w:val="both"/>
        <w:rPr>
          <w:b w:val="0"/>
        </w:rPr>
      </w:pPr>
      <w:r>
        <w:rPr>
          <w:b w:val="0"/>
        </w:rPr>
        <w:t>Согласно части 3 статьи 5 Закона о защите конкуренции д</w:t>
      </w:r>
      <w:r w:rsidRPr="00F912A0">
        <w:rPr>
          <w:b w:val="0"/>
        </w:rPr>
        <w:t>оминирующим признается положение каждого хозяйствующего субъекта из нескольких хозяйствующих субъектов (за исключением финансовой организации), в отношении которого выполняются в совокупности следующие условия:</w:t>
      </w:r>
    </w:p>
    <w:p w:rsidR="00D31594" w:rsidRPr="00F912A0" w:rsidRDefault="00D31594" w:rsidP="00B079E7">
      <w:pPr>
        <w:pStyle w:val="ConsPlusNormal"/>
        <w:ind w:firstLine="540"/>
        <w:jc w:val="both"/>
        <w:rPr>
          <w:b w:val="0"/>
        </w:rPr>
      </w:pPr>
      <w:r w:rsidRPr="00F912A0">
        <w:rPr>
          <w:b w:val="0"/>
        </w:rPr>
        <w:t>а)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D31594" w:rsidRPr="00F912A0" w:rsidRDefault="00D31594" w:rsidP="00D31594">
      <w:pPr>
        <w:pStyle w:val="ConsPlusNormal"/>
        <w:ind w:firstLine="540"/>
        <w:jc w:val="both"/>
        <w:rPr>
          <w:b w:val="0"/>
        </w:rPr>
      </w:pPr>
      <w:r w:rsidRPr="00F912A0">
        <w:rPr>
          <w:b w:val="0"/>
        </w:rPr>
        <w:t>б)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D31594" w:rsidRDefault="00D31594" w:rsidP="00D31594">
      <w:pPr>
        <w:pStyle w:val="ConsPlusNormal"/>
        <w:ind w:firstLine="540"/>
        <w:jc w:val="both"/>
        <w:rPr>
          <w:b w:val="0"/>
        </w:rPr>
      </w:pPr>
      <w:r w:rsidRPr="00F912A0">
        <w:rPr>
          <w:b w:val="0"/>
        </w:rPr>
        <w:t xml:space="preserve">в)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w:t>
      </w:r>
      <w:r w:rsidRPr="00F912A0">
        <w:rPr>
          <w:b w:val="0"/>
        </w:rPr>
        <w:lastRenderedPageBreak/>
        <w:t>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D31594" w:rsidRDefault="00D31594" w:rsidP="00D31594">
      <w:pPr>
        <w:pStyle w:val="ConsPlusNormal"/>
        <w:ind w:firstLine="540"/>
        <w:jc w:val="both"/>
        <w:rPr>
          <w:b w:val="0"/>
        </w:rPr>
      </w:pPr>
      <w:r>
        <w:rPr>
          <w:b w:val="0"/>
        </w:rPr>
        <w:t>Совокупная доля ПАО «МТС», ПАО «МегаФон», ПАО «ВымпелКом» и ООО «Т</w:t>
      </w:r>
      <w:r w:rsidR="00B079E7">
        <w:rPr>
          <w:b w:val="0"/>
        </w:rPr>
        <w:t xml:space="preserve">2 </w:t>
      </w:r>
      <w:proofErr w:type="spellStart"/>
      <w:r w:rsidR="00B079E7">
        <w:rPr>
          <w:b w:val="0"/>
        </w:rPr>
        <w:t>Мобайл</w:t>
      </w:r>
      <w:proofErr w:type="spellEnd"/>
      <w:r w:rsidR="00B079E7">
        <w:rPr>
          <w:b w:val="0"/>
        </w:rPr>
        <w:t xml:space="preserve">», а также их групп лиц </w:t>
      </w:r>
      <w:r w:rsidRPr="00F912A0">
        <w:rPr>
          <w:b w:val="0"/>
        </w:rPr>
        <w:t>превышает семьдесят процентов</w:t>
      </w:r>
      <w:r>
        <w:rPr>
          <w:b w:val="0"/>
        </w:rPr>
        <w:t xml:space="preserve"> на рынке услуг подвижной радиотелефонной связи (при этом доли каждого не менее 8%).</w:t>
      </w:r>
    </w:p>
    <w:p w:rsidR="00B079E7" w:rsidRDefault="00B079E7" w:rsidP="000A3735">
      <w:pPr>
        <w:pStyle w:val="ConsPlusNormal"/>
        <w:ind w:firstLine="540"/>
        <w:jc w:val="both"/>
        <w:rPr>
          <w:b w:val="0"/>
        </w:rPr>
      </w:pPr>
      <w:r>
        <w:rPr>
          <w:b w:val="0"/>
        </w:rPr>
        <w:t>В течение 2</w:t>
      </w:r>
      <w:r w:rsidR="00A061EB">
        <w:rPr>
          <w:b w:val="0"/>
        </w:rPr>
        <w:t>019</w:t>
      </w:r>
      <w:r w:rsidR="00D31594">
        <w:rPr>
          <w:b w:val="0"/>
        </w:rPr>
        <w:t xml:space="preserve"> года размеры долей ПАО «МТС», ПАО «МегаФон», ПАО «ВымпелКом» и ООО «Т2 </w:t>
      </w:r>
      <w:proofErr w:type="spellStart"/>
      <w:r w:rsidR="00D31594">
        <w:rPr>
          <w:b w:val="0"/>
        </w:rPr>
        <w:t>Мобайл</w:t>
      </w:r>
      <w:proofErr w:type="spellEnd"/>
      <w:r w:rsidR="00D31594">
        <w:rPr>
          <w:b w:val="0"/>
        </w:rPr>
        <w:t>», а также их групп лиц, были неизменны</w:t>
      </w:r>
      <w:r w:rsidR="002C0378">
        <w:rPr>
          <w:b w:val="0"/>
        </w:rPr>
        <w:t>.</w:t>
      </w:r>
    </w:p>
    <w:p w:rsidR="00B079E7" w:rsidRPr="00B079E7" w:rsidRDefault="000A3735" w:rsidP="00D31594">
      <w:pPr>
        <w:pStyle w:val="ConsPlusNormal"/>
        <w:ind w:firstLine="540"/>
        <w:jc w:val="both"/>
        <w:rPr>
          <w:b w:val="0"/>
        </w:rPr>
      </w:pPr>
      <w:r w:rsidRPr="00A95B4E">
        <w:rPr>
          <w:b w:val="0"/>
        </w:rPr>
        <w:t>При этом</w:t>
      </w:r>
      <w:r w:rsidR="00B079E7" w:rsidRPr="00A95B4E">
        <w:rPr>
          <w:b w:val="0"/>
        </w:rPr>
        <w:t xml:space="preserve"> услуги подвижной радиотелефонной связи не могут быть заменены другими услугами при потреблении.</w:t>
      </w:r>
    </w:p>
    <w:p w:rsidR="00D31594" w:rsidRPr="0000289D" w:rsidRDefault="00D31594" w:rsidP="00D31594">
      <w:pPr>
        <w:pStyle w:val="ConsPlusNormal"/>
        <w:ind w:firstLine="540"/>
        <w:jc w:val="both"/>
        <w:rPr>
          <w:b w:val="0"/>
          <w:bCs w:val="0"/>
        </w:rPr>
      </w:pPr>
      <w:r w:rsidRPr="0000289D">
        <w:rPr>
          <w:b w:val="0"/>
        </w:rPr>
        <w:t>Согласно подпункту «е» пункта 24 Правил оказания услуг телефонной связи о</w:t>
      </w:r>
      <w:r w:rsidRPr="0000289D">
        <w:rPr>
          <w:b w:val="0"/>
          <w:bCs w:val="0"/>
        </w:rPr>
        <w:t>ператор</w:t>
      </w:r>
      <w:r w:rsidRPr="00D11186">
        <w:rPr>
          <w:b w:val="0"/>
          <w:bCs w:val="0"/>
        </w:rPr>
        <w:t xml:space="preserve"> связи </w:t>
      </w:r>
      <w:proofErr w:type="spellStart"/>
      <w:r w:rsidRPr="00D11186">
        <w:rPr>
          <w:b w:val="0"/>
          <w:bCs w:val="0"/>
        </w:rPr>
        <w:t>обязан</w:t>
      </w:r>
      <w:r w:rsidRPr="0000289D">
        <w:rPr>
          <w:b w:val="0"/>
          <w:bCs w:val="0"/>
        </w:rPr>
        <w:t>не</w:t>
      </w:r>
      <w:proofErr w:type="spellEnd"/>
      <w:r w:rsidRPr="0000289D">
        <w:rPr>
          <w:b w:val="0"/>
          <w:bCs w:val="0"/>
        </w:rPr>
        <w:t xml:space="preserve"> менее чем за 10 дней до изменения действующих тарифов на услуги телефонной связи извещать об этом </w:t>
      </w:r>
      <w:r w:rsidRPr="00B079E7">
        <w:rPr>
          <w:b w:val="0"/>
          <w:bCs w:val="0"/>
        </w:rPr>
        <w:t>абонентов через сайт оператора связи в информационно-</w:t>
      </w:r>
      <w:r w:rsidRPr="0000289D">
        <w:rPr>
          <w:b w:val="0"/>
          <w:bCs w:val="0"/>
        </w:rPr>
        <w:t>телекоммуникационной сети "Интернет". Абонентам подвижной связи, в отношении которых применяется изменяемый тариф, дополнительно направляются короткие текстовые сообщения с информацией об изменении действующих тарифов на услуги подвижной связи, если иное не предусмотрено настоящими Правилами. В договоре с абонентом - юридическим лицом может быть определен иной способ информирования об изменении тарифов.</w:t>
      </w:r>
    </w:p>
    <w:p w:rsidR="00D31594" w:rsidRPr="0000289D" w:rsidRDefault="00D31594" w:rsidP="00D315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Кроме того, оператор подвижной радиотелефонной связи обязан </w:t>
      </w:r>
      <w:r w:rsidRPr="0000289D">
        <w:rPr>
          <w:rFonts w:ascii="Times New Roman" w:hAnsi="Times New Roman" w:cs="Times New Roman"/>
          <w:sz w:val="28"/>
          <w:szCs w:val="28"/>
        </w:rPr>
        <w:t>информировать абонента об изменении перечня услуг подвижной связи и иных услуг, технологически неразрывно связанных с услугами подвижной связи и направленных на повышение их потребительской ценности, оказываемых абоненту, путем направления абоненту короткого текстового сообщения</w:t>
      </w:r>
      <w:r>
        <w:rPr>
          <w:rFonts w:ascii="Times New Roman" w:hAnsi="Times New Roman" w:cs="Times New Roman"/>
          <w:sz w:val="28"/>
          <w:szCs w:val="28"/>
        </w:rPr>
        <w:t xml:space="preserve"> (подпункт «б» пункта 113 Правил оказания услуг телефонной связи)</w:t>
      </w:r>
      <w:r w:rsidRPr="0000289D">
        <w:rPr>
          <w:rFonts w:ascii="Times New Roman" w:hAnsi="Times New Roman" w:cs="Times New Roman"/>
          <w:sz w:val="28"/>
          <w:szCs w:val="28"/>
        </w:rPr>
        <w:t>.</w:t>
      </w:r>
    </w:p>
    <w:p w:rsidR="00D31594" w:rsidRDefault="00D31594" w:rsidP="00D31594">
      <w:pPr>
        <w:pStyle w:val="ConsPlusNormal"/>
        <w:ind w:firstLine="540"/>
        <w:jc w:val="both"/>
        <w:rPr>
          <w:b w:val="0"/>
        </w:rPr>
      </w:pPr>
      <w:r w:rsidRPr="0000289D">
        <w:rPr>
          <w:b w:val="0"/>
        </w:rPr>
        <w:t>Таким образом, информация</w:t>
      </w:r>
      <w:r w:rsidR="00874A0F">
        <w:rPr>
          <w:b w:val="0"/>
        </w:rPr>
        <w:t xml:space="preserve"> </w:t>
      </w:r>
      <w:r w:rsidRPr="00F912A0">
        <w:rPr>
          <w:b w:val="0"/>
        </w:rPr>
        <w:t xml:space="preserve">об условиях реализации или приобретения </w:t>
      </w:r>
      <w:r>
        <w:rPr>
          <w:b w:val="0"/>
        </w:rPr>
        <w:t xml:space="preserve">услуг подвижной радиотелефонной связи </w:t>
      </w:r>
      <w:r w:rsidRPr="00F912A0">
        <w:rPr>
          <w:b w:val="0"/>
        </w:rPr>
        <w:t>доступна неопределенному кругу лиц</w:t>
      </w:r>
      <w:r>
        <w:rPr>
          <w:b w:val="0"/>
        </w:rPr>
        <w:t xml:space="preserve"> (абонентам и пользователям)</w:t>
      </w:r>
      <w:r w:rsidRPr="00F912A0">
        <w:rPr>
          <w:b w:val="0"/>
        </w:rPr>
        <w:t>.</w:t>
      </w:r>
    </w:p>
    <w:p w:rsidR="00D31594" w:rsidRDefault="00D31594" w:rsidP="007530C7">
      <w:pPr>
        <w:pStyle w:val="ConsPlusNormal"/>
        <w:ind w:firstLine="540"/>
        <w:jc w:val="both"/>
        <w:rPr>
          <w:b w:val="0"/>
        </w:rPr>
      </w:pPr>
      <w:r>
        <w:rPr>
          <w:b w:val="0"/>
        </w:rPr>
        <w:t xml:space="preserve">Исходя из изложенного, ПАО «МТС», ПАО «МегаФон», ПАО «ВымпелКом» и ООО «Т2 </w:t>
      </w:r>
      <w:proofErr w:type="spellStart"/>
      <w:r>
        <w:rPr>
          <w:b w:val="0"/>
        </w:rPr>
        <w:t>Мобайл</w:t>
      </w:r>
      <w:proofErr w:type="spellEnd"/>
      <w:r>
        <w:rPr>
          <w:b w:val="0"/>
        </w:rPr>
        <w:t xml:space="preserve">», а </w:t>
      </w:r>
      <w:r w:rsidRPr="00A95B4E">
        <w:rPr>
          <w:b w:val="0"/>
        </w:rPr>
        <w:t xml:space="preserve">также </w:t>
      </w:r>
      <w:r w:rsidR="000A3735" w:rsidRPr="00A95B4E">
        <w:rPr>
          <w:b w:val="0"/>
        </w:rPr>
        <w:t>операторы связи, входящие в состав их групп</w:t>
      </w:r>
      <w:r w:rsidRPr="00A95B4E">
        <w:rPr>
          <w:b w:val="0"/>
        </w:rPr>
        <w:t xml:space="preserve"> лиц</w:t>
      </w:r>
      <w:r w:rsidR="00A91254">
        <w:rPr>
          <w:b w:val="0"/>
        </w:rPr>
        <w:t>,</w:t>
      </w:r>
      <w:r w:rsidRPr="00A95B4E">
        <w:rPr>
          <w:b w:val="0"/>
        </w:rPr>
        <w:t xml:space="preserve"> </w:t>
      </w:r>
      <w:r w:rsidR="000A3735" w:rsidRPr="00A95B4E">
        <w:rPr>
          <w:b w:val="0"/>
        </w:rPr>
        <w:t>занимают</w:t>
      </w:r>
      <w:r w:rsidRPr="00A95B4E">
        <w:rPr>
          <w:b w:val="0"/>
        </w:rPr>
        <w:t xml:space="preserve"> доминирующее положение</w:t>
      </w:r>
      <w:r>
        <w:rPr>
          <w:b w:val="0"/>
        </w:rPr>
        <w:t xml:space="preserve"> на рынке услуг подвижной радиотелефонной связи на территории Российской Федерации в соответствии с частью 3 статьи 5 Закона о защите конкуренции.</w:t>
      </w:r>
    </w:p>
    <w:p w:rsidR="007530C7" w:rsidRDefault="007530C7" w:rsidP="007530C7">
      <w:pPr>
        <w:pStyle w:val="ConsPlusNormal"/>
        <w:ind w:firstLine="540"/>
        <w:jc w:val="both"/>
        <w:rPr>
          <w:b w:val="0"/>
        </w:rPr>
      </w:pPr>
    </w:p>
    <w:p w:rsidR="007530C7" w:rsidRPr="007530C7" w:rsidRDefault="007530C7" w:rsidP="007530C7">
      <w:pPr>
        <w:pStyle w:val="ConsPlusNormal"/>
        <w:ind w:firstLine="540"/>
        <w:jc w:val="both"/>
        <w:rPr>
          <w:b w:val="0"/>
          <w:color w:val="FF0000"/>
        </w:rPr>
      </w:pPr>
    </w:p>
    <w:p w:rsidR="00D31594" w:rsidRDefault="00D31594" w:rsidP="00D31594">
      <w:pPr>
        <w:spacing w:after="0" w:line="240" w:lineRule="auto"/>
        <w:jc w:val="both"/>
        <w:rPr>
          <w:rFonts w:ascii="Times New Roman" w:hAnsi="Times New Roman" w:cs="Times New Roman"/>
          <w:sz w:val="28"/>
          <w:szCs w:val="28"/>
        </w:rPr>
      </w:pPr>
      <w:r w:rsidRPr="005C7A72">
        <w:rPr>
          <w:rFonts w:ascii="Times New Roman" w:hAnsi="Times New Roman" w:cs="Times New Roman"/>
          <w:sz w:val="28"/>
          <w:szCs w:val="28"/>
        </w:rPr>
        <w:t xml:space="preserve">Начальник Управления регулирования связи и </w:t>
      </w:r>
    </w:p>
    <w:p w:rsidR="00D31594" w:rsidRPr="002C0378" w:rsidRDefault="00B079E7" w:rsidP="002C03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w:t>
      </w:r>
      <w:r w:rsidR="00D31594" w:rsidRPr="005C7A72">
        <w:rPr>
          <w:rFonts w:ascii="Times New Roman" w:hAnsi="Times New Roman" w:cs="Times New Roman"/>
          <w:sz w:val="28"/>
          <w:szCs w:val="28"/>
        </w:rPr>
        <w:t>нформационных</w:t>
      </w:r>
      <w:r w:rsidR="00874A0F">
        <w:rPr>
          <w:rFonts w:ascii="Times New Roman" w:hAnsi="Times New Roman" w:cs="Times New Roman"/>
          <w:sz w:val="28"/>
          <w:szCs w:val="28"/>
        </w:rPr>
        <w:t xml:space="preserve"> </w:t>
      </w:r>
      <w:r w:rsidR="00D31594" w:rsidRPr="005C7A72">
        <w:rPr>
          <w:rFonts w:ascii="Times New Roman" w:hAnsi="Times New Roman" w:cs="Times New Roman"/>
          <w:sz w:val="28"/>
          <w:szCs w:val="28"/>
        </w:rPr>
        <w:t>технологий</w:t>
      </w:r>
      <w:r w:rsidR="00874A0F">
        <w:rPr>
          <w:rFonts w:ascii="Times New Roman" w:hAnsi="Times New Roman" w:cs="Times New Roman"/>
          <w:sz w:val="28"/>
          <w:szCs w:val="28"/>
        </w:rPr>
        <w:t xml:space="preserve"> </w:t>
      </w:r>
      <w:r w:rsidR="00D31594" w:rsidRPr="005C7A72">
        <w:rPr>
          <w:rFonts w:ascii="Times New Roman" w:hAnsi="Times New Roman" w:cs="Times New Roman"/>
          <w:sz w:val="28"/>
          <w:szCs w:val="28"/>
        </w:rPr>
        <w:t xml:space="preserve">ФАС России            </w:t>
      </w:r>
      <w:r w:rsidR="00874A0F">
        <w:rPr>
          <w:rFonts w:ascii="Times New Roman" w:hAnsi="Times New Roman" w:cs="Times New Roman"/>
          <w:sz w:val="28"/>
          <w:szCs w:val="28"/>
        </w:rPr>
        <w:t xml:space="preserve">                 </w:t>
      </w:r>
      <w:r w:rsidR="00A95B4E" w:rsidRPr="00874A0F">
        <w:rPr>
          <w:rFonts w:ascii="Times New Roman" w:hAnsi="Times New Roman" w:cs="Times New Roman"/>
          <w:sz w:val="28"/>
          <w:szCs w:val="28"/>
        </w:rPr>
        <w:t xml:space="preserve">             </w:t>
      </w:r>
      <w:r w:rsidR="00D31594" w:rsidRPr="005C7A72">
        <w:rPr>
          <w:rFonts w:ascii="Times New Roman" w:hAnsi="Times New Roman" w:cs="Times New Roman"/>
          <w:sz w:val="28"/>
          <w:szCs w:val="28"/>
        </w:rPr>
        <w:t xml:space="preserve">  Е.А. Заева</w:t>
      </w:r>
    </w:p>
    <w:p w:rsidR="00D31594" w:rsidRDefault="00D31594" w:rsidP="00D31594">
      <w:pPr>
        <w:ind w:firstLine="708"/>
        <w:jc w:val="both"/>
        <w:rPr>
          <w:sz w:val="26"/>
          <w:szCs w:val="26"/>
        </w:rPr>
      </w:pPr>
    </w:p>
    <w:p w:rsidR="00A061EB" w:rsidRDefault="00A061EB" w:rsidP="00A061EB">
      <w:pPr>
        <w:pStyle w:val="ad"/>
        <w:spacing w:before="0" w:beforeAutospacing="0" w:after="0"/>
        <w:rPr>
          <w:sz w:val="22"/>
          <w:szCs w:val="22"/>
        </w:rPr>
      </w:pPr>
    </w:p>
    <w:p w:rsidR="00A061EB" w:rsidRDefault="00A061EB" w:rsidP="00A061EB">
      <w:pPr>
        <w:pStyle w:val="ad"/>
        <w:spacing w:before="0" w:beforeAutospacing="0" w:after="0"/>
        <w:rPr>
          <w:sz w:val="22"/>
          <w:szCs w:val="22"/>
        </w:rPr>
      </w:pPr>
    </w:p>
    <w:p w:rsidR="00A061EB" w:rsidRDefault="00A061EB" w:rsidP="00A061EB">
      <w:pPr>
        <w:pStyle w:val="ad"/>
        <w:spacing w:before="0" w:beforeAutospacing="0" w:after="0"/>
      </w:pPr>
      <w:r>
        <w:rPr>
          <w:sz w:val="22"/>
          <w:szCs w:val="22"/>
        </w:rPr>
        <w:t xml:space="preserve">Исп. Дзкуя Астамур Эмилевич </w:t>
      </w:r>
    </w:p>
    <w:p w:rsidR="00A061EB" w:rsidRDefault="00A061EB" w:rsidP="00A061EB">
      <w:pPr>
        <w:pStyle w:val="ad"/>
        <w:spacing w:before="0" w:beforeAutospacing="0" w:after="0"/>
      </w:pPr>
      <w:r>
        <w:rPr>
          <w:color w:val="000000"/>
          <w:sz w:val="22"/>
          <w:szCs w:val="22"/>
          <w:shd w:val="clear" w:color="auto" w:fill="FFFFFF"/>
        </w:rPr>
        <w:t>(499) 755-23-23 доб. 097-242 (astamurd@fas.gov.ru)</w:t>
      </w:r>
    </w:p>
    <w:p w:rsidR="00D31594" w:rsidRPr="008E0F37" w:rsidRDefault="00D31594" w:rsidP="00A061EB">
      <w:pPr>
        <w:ind w:firstLine="708"/>
        <w:jc w:val="both"/>
        <w:rPr>
          <w:rFonts w:ascii="Times New Roman" w:hAnsi="Times New Roman" w:cs="Times New Roman"/>
          <w:b/>
          <w:sz w:val="20"/>
          <w:szCs w:val="20"/>
        </w:rPr>
      </w:pPr>
    </w:p>
    <w:sectPr w:rsidR="00D31594" w:rsidRPr="008E0F37" w:rsidSect="00EE4097">
      <w:headerReference w:type="even" r:id="rId13"/>
      <w:headerReference w:type="default" r:id="rId14"/>
      <w:footerReference w:type="even" r:id="rId15"/>
      <w:footerReference w:type="default" r:id="rId16"/>
      <w:headerReference w:type="first" r:id="rId17"/>
      <w:footerReference w:type="first" r:id="rId18"/>
      <w:pgSz w:w="11906" w:h="16838"/>
      <w:pgMar w:top="1276" w:right="1133"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C3F" w:rsidRDefault="00CB6C3F" w:rsidP="00EE4097">
      <w:pPr>
        <w:spacing w:after="0" w:line="240" w:lineRule="auto"/>
      </w:pPr>
      <w:r>
        <w:separator/>
      </w:r>
    </w:p>
  </w:endnote>
  <w:endnote w:type="continuationSeparator" w:id="0">
    <w:p w:rsidR="00CB6C3F" w:rsidRDefault="00CB6C3F" w:rsidP="00EE4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845" w:rsidRDefault="0074684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845" w:rsidRDefault="0074684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845" w:rsidRDefault="007468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C3F" w:rsidRDefault="00CB6C3F" w:rsidP="00EE4097">
      <w:pPr>
        <w:spacing w:after="0" w:line="240" w:lineRule="auto"/>
      </w:pPr>
      <w:r>
        <w:separator/>
      </w:r>
    </w:p>
  </w:footnote>
  <w:footnote w:type="continuationSeparator" w:id="0">
    <w:p w:rsidR="00CB6C3F" w:rsidRDefault="00CB6C3F" w:rsidP="00EE4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845" w:rsidRDefault="0074684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740706"/>
      <w:docPartObj>
        <w:docPartGallery w:val="Page Numbers (Top of Page)"/>
        <w:docPartUnique/>
      </w:docPartObj>
    </w:sdtPr>
    <w:sdtEndPr/>
    <w:sdtContent>
      <w:p w:rsidR="00746845" w:rsidRDefault="00746845">
        <w:pPr>
          <w:pStyle w:val="a9"/>
          <w:jc w:val="center"/>
        </w:pPr>
        <w:r>
          <w:fldChar w:fldCharType="begin"/>
        </w:r>
        <w:r>
          <w:instrText xml:space="preserve"> PAGE   \* MERGEFORMAT </w:instrText>
        </w:r>
        <w:r>
          <w:fldChar w:fldCharType="separate"/>
        </w:r>
        <w:r w:rsidR="00556F25">
          <w:rPr>
            <w:noProof/>
          </w:rPr>
          <w:t>13</w:t>
        </w:r>
        <w:r>
          <w:rPr>
            <w:noProof/>
          </w:rPr>
          <w:fldChar w:fldCharType="end"/>
        </w:r>
      </w:p>
    </w:sdtContent>
  </w:sdt>
  <w:p w:rsidR="00746845" w:rsidRDefault="0074684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845" w:rsidRDefault="0074684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B5725"/>
    <w:multiLevelType w:val="hybridMultilevel"/>
    <w:tmpl w:val="63507E00"/>
    <w:lvl w:ilvl="0" w:tplc="7E3C3C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94"/>
    <w:rsid w:val="00007A30"/>
    <w:rsid w:val="00034FAC"/>
    <w:rsid w:val="000378CD"/>
    <w:rsid w:val="00054A73"/>
    <w:rsid w:val="0009168B"/>
    <w:rsid w:val="000A3735"/>
    <w:rsid w:val="000F12FE"/>
    <w:rsid w:val="000F45F3"/>
    <w:rsid w:val="00150D5B"/>
    <w:rsid w:val="00152008"/>
    <w:rsid w:val="00157C63"/>
    <w:rsid w:val="001B2F97"/>
    <w:rsid w:val="00206D5F"/>
    <w:rsid w:val="00206EEC"/>
    <w:rsid w:val="00224C33"/>
    <w:rsid w:val="00251256"/>
    <w:rsid w:val="002C0378"/>
    <w:rsid w:val="002C13BB"/>
    <w:rsid w:val="002D1095"/>
    <w:rsid w:val="00305323"/>
    <w:rsid w:val="003422B7"/>
    <w:rsid w:val="00370169"/>
    <w:rsid w:val="00440104"/>
    <w:rsid w:val="00526A25"/>
    <w:rsid w:val="00530308"/>
    <w:rsid w:val="00556F25"/>
    <w:rsid w:val="00577221"/>
    <w:rsid w:val="005908AA"/>
    <w:rsid w:val="00591AD3"/>
    <w:rsid w:val="005F368B"/>
    <w:rsid w:val="006957AC"/>
    <w:rsid w:val="006D6323"/>
    <w:rsid w:val="006D6455"/>
    <w:rsid w:val="006F45E1"/>
    <w:rsid w:val="00706C0E"/>
    <w:rsid w:val="00710133"/>
    <w:rsid w:val="00746845"/>
    <w:rsid w:val="007530C7"/>
    <w:rsid w:val="007756C8"/>
    <w:rsid w:val="007B00B2"/>
    <w:rsid w:val="007B4169"/>
    <w:rsid w:val="007D3F03"/>
    <w:rsid w:val="0085550E"/>
    <w:rsid w:val="00874A0F"/>
    <w:rsid w:val="00887CBB"/>
    <w:rsid w:val="008E0F37"/>
    <w:rsid w:val="00905F65"/>
    <w:rsid w:val="00973E8C"/>
    <w:rsid w:val="00991E8B"/>
    <w:rsid w:val="009B3C13"/>
    <w:rsid w:val="009F40BC"/>
    <w:rsid w:val="00A061EB"/>
    <w:rsid w:val="00A754AC"/>
    <w:rsid w:val="00A91254"/>
    <w:rsid w:val="00A91F6F"/>
    <w:rsid w:val="00A95B4E"/>
    <w:rsid w:val="00AB64C6"/>
    <w:rsid w:val="00AD6044"/>
    <w:rsid w:val="00B079E7"/>
    <w:rsid w:val="00B22EE1"/>
    <w:rsid w:val="00B965A7"/>
    <w:rsid w:val="00BA2E6F"/>
    <w:rsid w:val="00BB1884"/>
    <w:rsid w:val="00C0340D"/>
    <w:rsid w:val="00C512CF"/>
    <w:rsid w:val="00CB6C3F"/>
    <w:rsid w:val="00CC7E4D"/>
    <w:rsid w:val="00CD4928"/>
    <w:rsid w:val="00D31594"/>
    <w:rsid w:val="00DD71E8"/>
    <w:rsid w:val="00DF3E35"/>
    <w:rsid w:val="00E14BED"/>
    <w:rsid w:val="00E826A2"/>
    <w:rsid w:val="00ED6F54"/>
    <w:rsid w:val="00EE4097"/>
    <w:rsid w:val="00F837E6"/>
    <w:rsid w:val="00FC6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97DFDA-8CA0-4A19-9FC5-550DA9ED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1594"/>
    <w:pPr>
      <w:autoSpaceDE w:val="0"/>
      <w:autoSpaceDN w:val="0"/>
      <w:adjustRightInd w:val="0"/>
      <w:spacing w:after="0" w:line="240" w:lineRule="auto"/>
    </w:pPr>
    <w:rPr>
      <w:rFonts w:ascii="Times New Roman" w:hAnsi="Times New Roman" w:cs="Times New Roman"/>
      <w:b/>
      <w:bCs/>
      <w:sz w:val="28"/>
      <w:szCs w:val="28"/>
    </w:rPr>
  </w:style>
  <w:style w:type="paragraph" w:styleId="a3">
    <w:name w:val="Body Text Indent"/>
    <w:basedOn w:val="a"/>
    <w:link w:val="a4"/>
    <w:rsid w:val="00D31594"/>
    <w:pPr>
      <w:spacing w:after="0" w:line="240" w:lineRule="auto"/>
      <w:ind w:firstLine="540"/>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D31594"/>
    <w:rPr>
      <w:rFonts w:ascii="Times New Roman" w:eastAsia="Times New Roman" w:hAnsi="Times New Roman" w:cs="Times New Roman"/>
      <w:sz w:val="28"/>
      <w:szCs w:val="24"/>
      <w:lang w:eastAsia="ru-RU"/>
    </w:rPr>
  </w:style>
  <w:style w:type="paragraph" w:styleId="a5">
    <w:name w:val="List Paragraph"/>
    <w:basedOn w:val="a"/>
    <w:uiPriority w:val="34"/>
    <w:qFormat/>
    <w:rsid w:val="00D31594"/>
    <w:pPr>
      <w:ind w:left="720"/>
      <w:contextualSpacing/>
    </w:pPr>
  </w:style>
  <w:style w:type="table" w:styleId="a6">
    <w:name w:val="Table Grid"/>
    <w:basedOn w:val="a1"/>
    <w:uiPriority w:val="39"/>
    <w:rsid w:val="00D31594"/>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05F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5F65"/>
    <w:rPr>
      <w:rFonts w:ascii="Tahoma" w:hAnsi="Tahoma" w:cs="Tahoma"/>
      <w:sz w:val="16"/>
      <w:szCs w:val="16"/>
    </w:rPr>
  </w:style>
  <w:style w:type="paragraph" w:styleId="a9">
    <w:name w:val="header"/>
    <w:basedOn w:val="a"/>
    <w:link w:val="aa"/>
    <w:uiPriority w:val="99"/>
    <w:unhideWhenUsed/>
    <w:rsid w:val="00EE409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E4097"/>
  </w:style>
  <w:style w:type="paragraph" w:styleId="ab">
    <w:name w:val="footer"/>
    <w:basedOn w:val="a"/>
    <w:link w:val="ac"/>
    <w:uiPriority w:val="99"/>
    <w:semiHidden/>
    <w:unhideWhenUsed/>
    <w:rsid w:val="00EE4097"/>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E4097"/>
  </w:style>
  <w:style w:type="paragraph" w:styleId="ad">
    <w:name w:val="Normal (Web)"/>
    <w:basedOn w:val="a"/>
    <w:uiPriority w:val="99"/>
    <w:semiHidden/>
    <w:unhideWhenUsed/>
    <w:rsid w:val="00A061EB"/>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94202">
      <w:bodyDiv w:val="1"/>
      <w:marLeft w:val="0"/>
      <w:marRight w:val="0"/>
      <w:marTop w:val="0"/>
      <w:marBottom w:val="0"/>
      <w:divBdr>
        <w:top w:val="none" w:sz="0" w:space="0" w:color="auto"/>
        <w:left w:val="none" w:sz="0" w:space="0" w:color="auto"/>
        <w:bottom w:val="none" w:sz="0" w:space="0" w:color="auto"/>
        <w:right w:val="none" w:sz="0" w:space="0" w:color="auto"/>
      </w:divBdr>
      <w:divsChild>
        <w:div w:id="1396584854">
          <w:marLeft w:val="0"/>
          <w:marRight w:val="0"/>
          <w:marTop w:val="0"/>
          <w:marBottom w:val="0"/>
          <w:divBdr>
            <w:top w:val="none" w:sz="0" w:space="0" w:color="auto"/>
            <w:left w:val="none" w:sz="0" w:space="0" w:color="auto"/>
            <w:bottom w:val="none" w:sz="0" w:space="0" w:color="auto"/>
            <w:right w:val="none" w:sz="0" w:space="0" w:color="auto"/>
          </w:divBdr>
        </w:div>
        <w:div w:id="1637642565">
          <w:marLeft w:val="0"/>
          <w:marRight w:val="0"/>
          <w:marTop w:val="0"/>
          <w:marBottom w:val="0"/>
          <w:divBdr>
            <w:top w:val="none" w:sz="0" w:space="0" w:color="auto"/>
            <w:left w:val="none" w:sz="0" w:space="0" w:color="auto"/>
            <w:bottom w:val="none" w:sz="0" w:space="0" w:color="auto"/>
            <w:right w:val="none" w:sz="0" w:space="0" w:color="auto"/>
          </w:divBdr>
        </w:div>
      </w:divsChild>
    </w:div>
    <w:div w:id="225725137">
      <w:bodyDiv w:val="1"/>
      <w:marLeft w:val="0"/>
      <w:marRight w:val="0"/>
      <w:marTop w:val="0"/>
      <w:marBottom w:val="0"/>
      <w:divBdr>
        <w:top w:val="none" w:sz="0" w:space="0" w:color="auto"/>
        <w:left w:val="none" w:sz="0" w:space="0" w:color="auto"/>
        <w:bottom w:val="none" w:sz="0" w:space="0" w:color="auto"/>
        <w:right w:val="none" w:sz="0" w:space="0" w:color="auto"/>
      </w:divBdr>
    </w:div>
    <w:div w:id="1053894526">
      <w:bodyDiv w:val="1"/>
      <w:marLeft w:val="0"/>
      <w:marRight w:val="0"/>
      <w:marTop w:val="0"/>
      <w:marBottom w:val="0"/>
      <w:divBdr>
        <w:top w:val="none" w:sz="0" w:space="0" w:color="auto"/>
        <w:left w:val="none" w:sz="0" w:space="0" w:color="auto"/>
        <w:bottom w:val="none" w:sz="0" w:space="0" w:color="auto"/>
        <w:right w:val="none" w:sz="0" w:space="0" w:color="auto"/>
      </w:divBdr>
    </w:div>
    <w:div w:id="1797941240">
      <w:bodyDiv w:val="1"/>
      <w:marLeft w:val="0"/>
      <w:marRight w:val="0"/>
      <w:marTop w:val="0"/>
      <w:marBottom w:val="0"/>
      <w:divBdr>
        <w:top w:val="none" w:sz="0" w:space="0" w:color="auto"/>
        <w:left w:val="none" w:sz="0" w:space="0" w:color="auto"/>
        <w:bottom w:val="none" w:sz="0" w:space="0" w:color="auto"/>
        <w:right w:val="none" w:sz="0" w:space="0" w:color="auto"/>
      </w:divBdr>
    </w:div>
    <w:div w:id="21359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latin typeface="Times New Roman" panose="02020603050405020304" pitchFamily="18" charset="0"/>
                <a:cs typeface="Times New Roman" panose="02020603050405020304" pitchFamily="18" charset="0"/>
              </a:defRPr>
            </a:pPr>
            <a:r>
              <a:rPr lang="ru-RU" sz="1400" baseline="0">
                <a:latin typeface="Times New Roman" panose="02020603050405020304" pitchFamily="18" charset="0"/>
                <a:cs typeface="Times New Roman" panose="02020603050405020304" pitchFamily="18" charset="0"/>
              </a:rPr>
              <a:t>Распределение долей хозяйствующих субъектов по обемам оказанных услуг</a:t>
            </a:r>
          </a:p>
          <a:p>
            <a:pPr>
              <a:defRPr>
                <a:latin typeface="Times New Roman" panose="02020603050405020304" pitchFamily="18" charset="0"/>
                <a:cs typeface="Times New Roman" panose="02020603050405020304" pitchFamily="18" charset="0"/>
              </a:defRPr>
            </a:pPr>
            <a:r>
              <a:rPr lang="ru-RU" sz="1400" baseline="0">
                <a:latin typeface="Times New Roman" panose="02020603050405020304" pitchFamily="18" charset="0"/>
                <a:cs typeface="Times New Roman" panose="02020603050405020304" pitchFamily="18" charset="0"/>
              </a:rPr>
              <a:t> (Голосовые услуги связи)</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0.1721874088655585"/>
          <c:y val="0.29374364018973032"/>
          <c:w val="0.3876740667833195"/>
          <c:h val="0.66458411448568988"/>
        </c:manualLayout>
      </c:layout>
      <c:pieChart>
        <c:varyColors val="1"/>
        <c:ser>
          <c:idx val="0"/>
          <c:order val="0"/>
          <c:tx>
            <c:strRef>
              <c:f>Лист1!$B$1</c:f>
              <c:strCache>
                <c:ptCount val="1"/>
                <c:pt idx="0">
                  <c:v>Продажи</c:v>
                </c:pt>
              </c:strCache>
            </c:strRef>
          </c:tx>
          <c:spPr>
            <a:ln w="12700" cmpd="sng">
              <a:solidFill>
                <a:srgbClr val="FFFFFF"/>
              </a:solidFill>
            </a:ln>
            <a:effectLst/>
          </c:spPr>
          <c:dLbls>
            <c:dLbl>
              <c:idx val="0"/>
              <c:tx>
                <c:rich>
                  <a:bodyPr/>
                  <a:lstStyle/>
                  <a:p>
                    <a:fld id="{828C09A7-7754-49C1-8D4B-D1423BD43551}" type="CATEGORYNAME">
                      <a:rPr lang="ru-RU"/>
                      <a:pPr/>
                      <a:t>[ИМЯ КАТЕГОРИИ]</a:t>
                    </a:fld>
                    <a:endParaRPr lang="ru-RU"/>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222C121D-294F-4963-AD2C-39610985B9C0}" type="CATEGORYNAME">
                      <a:rPr lang="ru-RU"/>
                      <a:pPr/>
                      <a:t>[ИМЯ КАТЕГОРИИ]</a:t>
                    </a:fld>
                    <a:endParaRPr lang="ru-RU" baseline="0"/>
                  </a:p>
                  <a:p>
                    <a:endParaRPr lang="ru-RU"/>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2"/>
              <c:layout>
                <c:manualLayout>
                  <c:x val="0.11577400481189851"/>
                  <c:y val="-0.13820068358296433"/>
                </c:manualLayout>
              </c:layout>
              <c:tx>
                <c:rich>
                  <a:bodyPr/>
                  <a:lstStyle/>
                  <a:p>
                    <a:fld id="{CE77FCBB-ABF4-4E24-B174-056877B0B143}" type="CATEGORYNAME">
                      <a:rPr lang="ru-RU"/>
                      <a:pPr/>
                      <a:t>[ИМЯ КАТЕГОРИИ]</a:t>
                    </a:fld>
                    <a:endParaRPr lang="ru-RU"/>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3"/>
              <c:layout>
                <c:manualLayout>
                  <c:x val="9.1810841353164183E-2"/>
                  <c:y val="0.11991447113621731"/>
                </c:manualLayout>
              </c:layout>
              <c:tx>
                <c:rich>
                  <a:bodyPr/>
                  <a:lstStyle/>
                  <a:p>
                    <a:fld id="{87A16017-A57D-4D41-83D9-485AF647BE28}" type="CATEGORYNAME">
                      <a:rPr lang="ru-RU"/>
                      <a:pPr/>
                      <a:t>[ИМЯ КАТЕГОРИИ]</a:t>
                    </a:fld>
                    <a:endParaRPr lang="ru-RU"/>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0-FDD4-44EA-952F-9B66126809A3}"/>
                </c:ext>
                <c:ext xmlns:c15="http://schemas.microsoft.com/office/drawing/2012/chart" uri="{CE6537A1-D6FC-4f65-9D91-7224C49458BB}">
                  <c15:dlblFieldTable/>
                  <c15:showDataLabelsRange val="0"/>
                </c:ext>
              </c:extLst>
            </c:dLbl>
            <c:dLbl>
              <c:idx val="4"/>
              <c:layout>
                <c:manualLayout>
                  <c:x val="1.3287401574803149E-3"/>
                  <c:y val="-3.1066946068808946E-2"/>
                </c:manualLayout>
              </c:layout>
              <c:tx>
                <c:rich>
                  <a:bodyPr/>
                  <a:lstStyle/>
                  <a:p>
                    <a:fld id="{5B0C23E8-D6F6-49E8-B476-E2A354985C9C}" type="CATEGORYNAME">
                      <a:rPr lang="ru-RU"/>
                      <a:pPr/>
                      <a:t>[ИМЯ КАТЕГОРИИ]</a:t>
                    </a:fld>
                    <a:endParaRPr lang="ru-RU"/>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FDD4-44EA-952F-9B66126809A3}"/>
                </c:ext>
                <c:ext xmlns:c15="http://schemas.microsoft.com/office/drawing/2012/chart" uri="{CE6537A1-D6FC-4f65-9D91-7224C49458BB}">
                  <c15:dlblFieldTable/>
                  <c15:showDataLabelsRange val="0"/>
                </c:ext>
              </c:extLst>
            </c:dLbl>
            <c:spPr>
              <a:noFill/>
              <a:ln>
                <a:noFill/>
              </a:ln>
              <a:effectLst/>
            </c:spPr>
            <c:txPr>
              <a:bodyPr/>
              <a:lstStyle/>
              <a:p>
                <a:pPr>
                  <a:defRPr sz="1200"/>
                </a:pPr>
                <a:endParaRPr lang="ru-RU"/>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Лист1!$A$2:$A$6</c:f>
              <c:strCache>
                <c:ptCount val="5"/>
                <c:pt idx="0">
                  <c:v>Вымпелком</c:v>
                </c:pt>
                <c:pt idx="1">
                  <c:v>МегаФон</c:v>
                </c:pt>
                <c:pt idx="2">
                  <c:v>МТС</c:v>
                </c:pt>
                <c:pt idx="3">
                  <c:v>Теле2</c:v>
                </c:pt>
                <c:pt idx="4">
                  <c:v>Иные</c:v>
                </c:pt>
              </c:strCache>
            </c:strRef>
          </c:cat>
          <c:val>
            <c:numRef>
              <c:f>Лист1!$B$2:$B$6</c:f>
              <c:numCache>
                <c:formatCode>0%</c:formatCode>
                <c:ptCount val="5"/>
                <c:pt idx="0">
                  <c:v>0.2</c:v>
                </c:pt>
                <c:pt idx="1">
                  <c:v>0.32</c:v>
                </c:pt>
                <c:pt idx="2">
                  <c:v>0.23</c:v>
                </c:pt>
                <c:pt idx="3">
                  <c:v>0.21</c:v>
                </c:pt>
                <c:pt idx="4" formatCode="0.0%">
                  <c:v>0.04</c:v>
                </c:pt>
              </c:numCache>
            </c:numRef>
          </c:val>
          <c:extLst xmlns:c16r2="http://schemas.microsoft.com/office/drawing/2015/06/chart">
            <c:ext xmlns:c16="http://schemas.microsoft.com/office/drawing/2014/chart" uri="{C3380CC4-5D6E-409C-BE32-E72D297353CC}">
              <c16:uniqueId val="{00000002-FDD4-44EA-952F-9B66126809A3}"/>
            </c:ext>
          </c:extLst>
        </c:ser>
        <c:dLbls>
          <c:showLegendKey val="0"/>
          <c:showVal val="1"/>
          <c:showCatName val="0"/>
          <c:showSerName val="0"/>
          <c:showPercent val="0"/>
          <c:showBubbleSize val="0"/>
          <c:showLeaderLines val="1"/>
        </c:dLbls>
        <c:firstSliceAng val="0"/>
      </c:pieChart>
    </c:plotArea>
    <c:legend>
      <c:legendPos val="r"/>
      <c:layout>
        <c:manualLayout>
          <c:xMode val="edge"/>
          <c:yMode val="edge"/>
          <c:x val="0.73843285214348198"/>
          <c:y val="0.42672835897383032"/>
          <c:w val="0.17128937007874015"/>
          <c:h val="0.36086907221504738"/>
        </c:manualLayout>
      </c:layout>
      <c:overlay val="0"/>
      <c:txPr>
        <a:bodyPr/>
        <a:lstStyle/>
        <a:p>
          <a:pPr rtl="0">
            <a:defRPr sz="1100"/>
          </a:pPr>
          <a:endParaRPr lang="ru-RU"/>
        </a:p>
      </c:txPr>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latin typeface="Times New Roman" panose="02020603050405020304" pitchFamily="18" charset="0"/>
                <a:cs typeface="Times New Roman" panose="02020603050405020304" pitchFamily="18" charset="0"/>
              </a:defRPr>
            </a:pPr>
            <a:r>
              <a:rPr lang="ru-RU" sz="1400" baseline="0">
                <a:latin typeface="Times New Roman" panose="02020603050405020304" pitchFamily="18" charset="0"/>
                <a:cs typeface="Times New Roman" panose="02020603050405020304" pitchFamily="18" charset="0"/>
              </a:rPr>
              <a:t>Распределение долей хозяйствующих субъектов по обемам оказанных услуг </a:t>
            </a:r>
          </a:p>
          <a:p>
            <a:pPr>
              <a:defRPr>
                <a:latin typeface="Times New Roman" panose="02020603050405020304" pitchFamily="18" charset="0"/>
                <a:cs typeface="Times New Roman" panose="02020603050405020304" pitchFamily="18" charset="0"/>
              </a:defRPr>
            </a:pPr>
            <a:r>
              <a:rPr lang="ru-RU" sz="1400" baseline="0">
                <a:latin typeface="Times New Roman" panose="02020603050405020304" pitchFamily="18" charset="0"/>
                <a:cs typeface="Times New Roman" panose="02020603050405020304" pitchFamily="18" charset="0"/>
              </a:rPr>
              <a:t>(СМС)</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0.14672444590259529"/>
          <c:y val="0.28924984059057279"/>
          <c:w val="0.3876740667833195"/>
          <c:h val="0.66458411448568988"/>
        </c:manualLayout>
      </c:layout>
      <c:pieChart>
        <c:varyColors val="1"/>
        <c:ser>
          <c:idx val="0"/>
          <c:order val="0"/>
          <c:tx>
            <c:strRef>
              <c:f>Лист1!$B$1</c:f>
              <c:strCache>
                <c:ptCount val="1"/>
                <c:pt idx="0">
                  <c:v>Продажи</c:v>
                </c:pt>
              </c:strCache>
            </c:strRef>
          </c:tx>
          <c:spPr>
            <a:ln w="12700" cmpd="sng">
              <a:solidFill>
                <a:srgbClr val="FFFFFF"/>
              </a:solidFill>
            </a:ln>
            <a:effectLst/>
          </c:spPr>
          <c:dLbls>
            <c:dLbl>
              <c:idx val="0"/>
              <c:layout>
                <c:manualLayout>
                  <c:x val="-0.13412273986585013"/>
                  <c:y val="0.12328644070042949"/>
                </c:manualLayout>
              </c:layout>
              <c:tx>
                <c:rich>
                  <a:bodyPr/>
                  <a:lstStyle/>
                  <a:p>
                    <a:fld id="{629597C4-39FD-459C-9EA8-4BAEB39559D9}" type="CATEGORYNAME">
                      <a:rPr lang="ru-RU"/>
                      <a:pPr/>
                      <a:t>[ИМЯ КАТЕГОРИИ]</a:t>
                    </a:fld>
                    <a:endParaRPr lang="ru-RU"/>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0-CC56-4FD3-8063-F0E1B6C61092}"/>
                </c:ext>
                <c:ext xmlns:c15="http://schemas.microsoft.com/office/drawing/2012/chart" uri="{CE6537A1-D6FC-4f65-9D91-7224C49458BB}">
                  <c15:dlblFieldTable/>
                  <c15:showDataLabelsRange val="0"/>
                </c:ext>
              </c:extLst>
            </c:dLbl>
            <c:dLbl>
              <c:idx val="1"/>
              <c:layout>
                <c:manualLayout>
                  <c:x val="-0.12131926217556138"/>
                  <c:y val="-0.15448003074797995"/>
                </c:manualLayout>
              </c:layout>
              <c:tx>
                <c:rich>
                  <a:bodyPr/>
                  <a:lstStyle/>
                  <a:p>
                    <a:fld id="{A56B5173-2583-414E-932F-A36AB12FDECB}" type="CATEGORYNAME">
                      <a:rPr lang="ru-RU"/>
                      <a:pPr/>
                      <a:t>[ИМЯ КАТЕГОРИИ]</a:t>
                    </a:fld>
                    <a:endParaRPr lang="ru-RU"/>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2"/>
              <c:layout>
                <c:manualLayout>
                  <c:x val="0.10156177092446778"/>
                  <c:y val="-0.16632183180207019"/>
                </c:manualLayout>
              </c:layout>
              <c:tx>
                <c:rich>
                  <a:bodyPr/>
                  <a:lstStyle/>
                  <a:p>
                    <a:fld id="{C583A1F4-2479-43C4-9B41-AE4401C7593B}" type="CATEGORYNAME">
                      <a:rPr lang="ru-RU"/>
                      <a:pPr/>
                      <a:t>[ИМЯ КАТЕГОРИИ]</a:t>
                    </a:fld>
                    <a:endParaRPr lang="ru-RU"/>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3"/>
              <c:layout>
                <c:manualLayout>
                  <c:x val="9.4125656167979008E-2"/>
                  <c:y val="0.10869322557796042"/>
                </c:manualLayout>
              </c:layout>
              <c:tx>
                <c:rich>
                  <a:bodyPr/>
                  <a:lstStyle/>
                  <a:p>
                    <a:fld id="{B11388B3-EEA2-41D4-85DD-0006FBDA8873}" type="CATEGORYNAME">
                      <a:rPr lang="ru-RU"/>
                      <a:pPr/>
                      <a:t>[ИМЯ КАТЕГОРИИ]</a:t>
                    </a:fld>
                    <a:endParaRPr lang="ru-RU"/>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CC56-4FD3-8063-F0E1B6C61092}"/>
                </c:ext>
                <c:ext xmlns:c15="http://schemas.microsoft.com/office/drawing/2012/chart" uri="{CE6537A1-D6FC-4f65-9D91-7224C49458BB}">
                  <c15:dlblFieldTable/>
                  <c15:showDataLabelsRange val="0"/>
                </c:ext>
              </c:extLst>
            </c:dLbl>
            <c:dLbl>
              <c:idx val="4"/>
              <c:layout>
                <c:manualLayout>
                  <c:x val="0.13095836978711012"/>
                  <c:y val="-1.2364870138380656E-2"/>
                </c:manualLayout>
              </c:layout>
              <c:tx>
                <c:rich>
                  <a:bodyPr/>
                  <a:lstStyle/>
                  <a:p>
                    <a:fld id="{0752B9A1-25D4-4AD1-B4FB-20CB76B44D74}" type="CATEGORYNAME">
                      <a:rPr lang="ru-RU"/>
                      <a:pPr/>
                      <a:t>[ИМЯ КАТЕГОРИИ]</a:t>
                    </a:fld>
                    <a:endParaRPr lang="ru-RU"/>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a:lstStyle/>
              <a:p>
                <a:pPr>
                  <a:defRPr sz="1200"/>
                </a:pPr>
                <a:endParaRPr lang="ru-RU"/>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Лист1!$A$2:$A$6</c:f>
              <c:strCache>
                <c:ptCount val="5"/>
                <c:pt idx="0">
                  <c:v>Вымпелком</c:v>
                </c:pt>
                <c:pt idx="1">
                  <c:v>МегаФон</c:v>
                </c:pt>
                <c:pt idx="2">
                  <c:v>МТС</c:v>
                </c:pt>
                <c:pt idx="3">
                  <c:v>Теле2</c:v>
                </c:pt>
                <c:pt idx="4">
                  <c:v>Иные</c:v>
                </c:pt>
              </c:strCache>
            </c:strRef>
          </c:cat>
          <c:val>
            <c:numRef>
              <c:f>Лист1!$B$2:$B$6</c:f>
              <c:numCache>
                <c:formatCode>0%</c:formatCode>
                <c:ptCount val="5"/>
                <c:pt idx="0">
                  <c:v>0.23</c:v>
                </c:pt>
                <c:pt idx="1">
                  <c:v>0.3</c:v>
                </c:pt>
                <c:pt idx="2">
                  <c:v>0.26</c:v>
                </c:pt>
                <c:pt idx="3">
                  <c:v>0.14000000000000001</c:v>
                </c:pt>
                <c:pt idx="4" formatCode="0.00%">
                  <c:v>7.0000000000000007E-2</c:v>
                </c:pt>
              </c:numCache>
            </c:numRef>
          </c:val>
          <c:extLst xmlns:c16r2="http://schemas.microsoft.com/office/drawing/2015/06/chart">
            <c:ext xmlns:c16="http://schemas.microsoft.com/office/drawing/2014/chart" uri="{C3380CC4-5D6E-409C-BE32-E72D297353CC}">
              <c16:uniqueId val="{00000003-CC56-4FD3-8063-F0E1B6C61092}"/>
            </c:ext>
          </c:extLst>
        </c:ser>
        <c:dLbls>
          <c:showLegendKey val="0"/>
          <c:showVal val="1"/>
          <c:showCatName val="0"/>
          <c:showSerName val="0"/>
          <c:showPercent val="0"/>
          <c:showBubbleSize val="0"/>
          <c:showLeaderLines val="1"/>
        </c:dLbls>
        <c:firstSliceAng val="0"/>
      </c:pieChart>
    </c:plotArea>
    <c:legend>
      <c:legendPos val="r"/>
      <c:overlay val="0"/>
      <c:txPr>
        <a:bodyPr/>
        <a:lstStyle/>
        <a:p>
          <a:pPr rtl="0">
            <a:defRPr sz="1100"/>
          </a:pPr>
          <a:endParaRPr lang="ru-RU"/>
        </a:p>
      </c:txPr>
    </c:legend>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latin typeface="Times New Roman" panose="02020603050405020304" pitchFamily="18" charset="0"/>
                <a:cs typeface="Times New Roman" panose="02020603050405020304" pitchFamily="18" charset="0"/>
              </a:defRPr>
            </a:pPr>
            <a:r>
              <a:rPr lang="ru-RU" sz="1400" baseline="0">
                <a:latin typeface="Times New Roman" panose="02020603050405020304" pitchFamily="18" charset="0"/>
                <a:cs typeface="Times New Roman" panose="02020603050405020304" pitchFamily="18" charset="0"/>
              </a:rPr>
              <a:t>Распределение долей хозяйствующих субъектов по обемам оказанных услуг </a:t>
            </a:r>
          </a:p>
          <a:p>
            <a:pPr>
              <a:defRPr>
                <a:latin typeface="Times New Roman" panose="02020603050405020304" pitchFamily="18" charset="0"/>
                <a:cs typeface="Times New Roman" panose="02020603050405020304" pitchFamily="18" charset="0"/>
              </a:defRPr>
            </a:pPr>
            <a:r>
              <a:rPr lang="ru-RU" sz="1400" baseline="0">
                <a:latin typeface="Times New Roman" panose="02020603050405020304" pitchFamily="18" charset="0"/>
                <a:cs typeface="Times New Roman" panose="02020603050405020304" pitchFamily="18" charset="0"/>
              </a:rPr>
              <a:t>(передача данных) </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0.14672444590259529"/>
          <c:y val="0.28924984059057279"/>
          <c:w val="0.3876740667833195"/>
          <c:h val="0.66458411448568988"/>
        </c:manualLayout>
      </c:layout>
      <c:pieChart>
        <c:varyColors val="1"/>
        <c:ser>
          <c:idx val="0"/>
          <c:order val="0"/>
          <c:tx>
            <c:strRef>
              <c:f>Лист1!$B$1</c:f>
              <c:strCache>
                <c:ptCount val="1"/>
                <c:pt idx="0">
                  <c:v>Продажи</c:v>
                </c:pt>
              </c:strCache>
            </c:strRef>
          </c:tx>
          <c:spPr>
            <a:ln w="12700" cmpd="sng">
              <a:solidFill>
                <a:srgbClr val="FFFFFF"/>
              </a:solidFill>
            </a:ln>
            <a:effectLst/>
          </c:spPr>
          <c:dLbls>
            <c:dLbl>
              <c:idx val="0"/>
              <c:layout>
                <c:manualLayout>
                  <c:x val="-0.10752387722368033"/>
                  <c:y val="0.16519794012095973"/>
                </c:manualLayout>
              </c:layout>
              <c:tx>
                <c:rich>
                  <a:bodyPr/>
                  <a:lstStyle/>
                  <a:p>
                    <a:fld id="{8AAA2546-314C-4F42-B357-85FFEE534014}" type="CATEGORYNAME">
                      <a:rPr lang="ru-RU"/>
                      <a:pPr/>
                      <a:t>[ИМЯ КАТЕГОРИИ]</a:t>
                    </a:fld>
                    <a:endParaRPr lang="ru-RU"/>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0-BFBA-4D27-9423-E98A3C41AD27}"/>
                </c:ext>
                <c:ext xmlns:c15="http://schemas.microsoft.com/office/drawing/2012/chart" uri="{CE6537A1-D6FC-4f65-9D91-7224C49458BB}">
                  <c15:dlblFieldTable/>
                  <c15:showDataLabelsRange val="0"/>
                </c:ext>
              </c:extLst>
            </c:dLbl>
            <c:dLbl>
              <c:idx val="1"/>
              <c:tx>
                <c:rich>
                  <a:bodyPr/>
                  <a:lstStyle/>
                  <a:p>
                    <a:fld id="{C6A99EE1-A524-46B4-96DC-0BD1D4695578}" type="CATEGORYNAME">
                      <a:rPr lang="ru-RU"/>
                      <a:pPr/>
                      <a:t>[ИМЯ КАТЕГОРИИ]</a:t>
                    </a:fld>
                    <a:endParaRPr lang="ru-RU"/>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6D3C6916-8036-4DDC-9D4A-ED81DF80EBEA}" type="CATEGORYNAME">
                      <a:rPr lang="ru-RU"/>
                      <a:pPr/>
                      <a:t>[ИМЯ КАТЕГОРИИ]</a:t>
                    </a:fld>
                    <a:endParaRPr lang="ru-RU"/>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3"/>
              <c:layout>
                <c:manualLayout>
                  <c:x val="0.10879629629629629"/>
                  <c:y val="8.251031927536083E-2"/>
                </c:manualLayout>
              </c:layout>
              <c:tx>
                <c:rich>
                  <a:bodyPr/>
                  <a:lstStyle/>
                  <a:p>
                    <a:fld id="{3E5D519C-2F9E-4BA9-9696-E29849F41514}" type="CATEGORYNAME">
                      <a:rPr lang="ru-RU"/>
                      <a:pPr/>
                      <a:t>[ИМЯ КАТЕГОРИИ]</a:t>
                    </a:fld>
                    <a:endParaRPr lang="ru-RU"/>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BFBA-4D27-9423-E98A3C41AD27}"/>
                </c:ext>
                <c:ext xmlns:c15="http://schemas.microsoft.com/office/drawing/2012/chart" uri="{CE6537A1-D6FC-4f65-9D91-7224C49458BB}">
                  <c15:dlblFieldTable/>
                  <c15:showDataLabelsRange val="0"/>
                </c:ext>
              </c:extLst>
            </c:dLbl>
            <c:dLbl>
              <c:idx val="4"/>
              <c:layout>
                <c:manualLayout>
                  <c:x val="2.6791703120443308E-2"/>
                  <c:y val="-2.7326530882723288E-2"/>
                </c:manualLayout>
              </c:layout>
              <c:tx>
                <c:rich>
                  <a:bodyPr/>
                  <a:lstStyle/>
                  <a:p>
                    <a:fld id="{2AFEFB4A-6BE5-4B85-AF9D-2A42190D9A0F}" type="CATEGORYNAME">
                      <a:rPr lang="ru-RU"/>
                      <a:pPr/>
                      <a:t>[ИМЯ КАТЕГОРИИ]</a:t>
                    </a:fld>
                    <a:r>
                      <a:rPr lang="ru-RU" baseline="0"/>
                      <a:t> </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2-BFBA-4D27-9423-E98A3C41AD27}"/>
                </c:ext>
                <c:ext xmlns:c15="http://schemas.microsoft.com/office/drawing/2012/chart" uri="{CE6537A1-D6FC-4f65-9D91-7224C49458BB}">
                  <c15:dlblFieldTable/>
                  <c15:showDataLabelsRange val="0"/>
                </c:ext>
              </c:extLst>
            </c:dLbl>
            <c:dLbl>
              <c:idx val="5"/>
              <c:layout>
                <c:manualLayout>
                  <c:x val="0.1896466717701954"/>
                  <c:y val="-1.7674198056456707E-3"/>
                </c:manualLayout>
              </c:layout>
              <c:tx>
                <c:rich>
                  <a:bodyPr/>
                  <a:lstStyle/>
                  <a:p>
                    <a:fld id="{8A9BFA3E-8DC6-4D6D-BEDA-310FEBD80944}" type="CATEGORYNAME">
                      <a:rPr lang="ru-RU"/>
                      <a:pPr/>
                      <a:t>[ИМЯ КАТЕГОРИИ]</a:t>
                    </a:fld>
                    <a:endParaRPr lang="ru-RU"/>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a:lstStyle/>
              <a:p>
                <a:pPr>
                  <a:defRPr sz="1200"/>
                </a:pPr>
                <a:endParaRPr lang="ru-RU"/>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Лист1!$A$2:$A$7</c:f>
              <c:strCache>
                <c:ptCount val="6"/>
                <c:pt idx="0">
                  <c:v>Вымпелком</c:v>
                </c:pt>
                <c:pt idx="1">
                  <c:v>МегаФон</c:v>
                </c:pt>
                <c:pt idx="2">
                  <c:v>МТС</c:v>
                </c:pt>
                <c:pt idx="3">
                  <c:v>Теле2</c:v>
                </c:pt>
                <c:pt idx="4">
                  <c:v>Скартел</c:v>
                </c:pt>
                <c:pt idx="5">
                  <c:v>Иные</c:v>
                </c:pt>
              </c:strCache>
            </c:strRef>
          </c:cat>
          <c:val>
            <c:numRef>
              <c:f>Лист1!$B$2:$B$7</c:f>
              <c:numCache>
                <c:formatCode>0%</c:formatCode>
                <c:ptCount val="6"/>
                <c:pt idx="0">
                  <c:v>0.17</c:v>
                </c:pt>
                <c:pt idx="1">
                  <c:v>0.36</c:v>
                </c:pt>
                <c:pt idx="2">
                  <c:v>0.15</c:v>
                </c:pt>
                <c:pt idx="3">
                  <c:v>0.2</c:v>
                </c:pt>
                <c:pt idx="4" formatCode="0.00%">
                  <c:v>6.9099999999999995E-2</c:v>
                </c:pt>
                <c:pt idx="5" formatCode="0.00%">
                  <c:v>5.0999999999999997E-2</c:v>
                </c:pt>
              </c:numCache>
            </c:numRef>
          </c:val>
          <c:extLst xmlns:c16r2="http://schemas.microsoft.com/office/drawing/2015/06/chart">
            <c:ext xmlns:c16="http://schemas.microsoft.com/office/drawing/2014/chart" uri="{C3380CC4-5D6E-409C-BE32-E72D297353CC}">
              <c16:uniqueId val="{00000003-BFBA-4D27-9423-E98A3C41AD27}"/>
            </c:ext>
          </c:extLst>
        </c:ser>
        <c:dLbls>
          <c:showLegendKey val="0"/>
          <c:showVal val="1"/>
          <c:showCatName val="0"/>
          <c:showSerName val="0"/>
          <c:showPercent val="0"/>
          <c:showBubbleSize val="0"/>
          <c:showLeaderLines val="1"/>
        </c:dLbls>
        <c:firstSliceAng val="0"/>
      </c:pieChart>
    </c:plotArea>
    <c:legend>
      <c:legendPos val="r"/>
      <c:overlay val="0"/>
      <c:txPr>
        <a:bodyPr/>
        <a:lstStyle/>
        <a:p>
          <a:pPr rtl="0">
            <a:defRPr sz="1100"/>
          </a:pPr>
          <a:endParaRPr lang="ru-RU"/>
        </a:p>
      </c:txPr>
    </c:legend>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latin typeface="Times New Roman" panose="02020603050405020304" pitchFamily="18" charset="0"/>
                <a:cs typeface="Times New Roman" panose="02020603050405020304" pitchFamily="18" charset="0"/>
              </a:defRPr>
            </a:pPr>
            <a:r>
              <a:rPr lang="ru-RU" sz="1400" baseline="0">
                <a:latin typeface="Times New Roman" panose="02020603050405020304" pitchFamily="18" charset="0"/>
                <a:cs typeface="Times New Roman" panose="02020603050405020304" pitchFamily="18" charset="0"/>
              </a:rPr>
              <a:t>Распределение доходов от услуг подвижной радиотелефонной связи по операторам</a:t>
            </a:r>
          </a:p>
        </c:rich>
      </c:tx>
      <c:overlay val="0"/>
    </c:title>
    <c:autoTitleDeleted val="0"/>
    <c:plotArea>
      <c:layout>
        <c:manualLayout>
          <c:layoutTarget val="inner"/>
          <c:xMode val="edge"/>
          <c:yMode val="edge"/>
          <c:x val="0.14672444590259529"/>
          <c:y val="0.28924984059057279"/>
          <c:w val="0.3876740667833195"/>
          <c:h val="0.66458411448568988"/>
        </c:manualLayout>
      </c:layout>
      <c:pieChart>
        <c:varyColors val="1"/>
        <c:ser>
          <c:idx val="0"/>
          <c:order val="0"/>
          <c:tx>
            <c:strRef>
              <c:f>Лист1!$B$1</c:f>
              <c:strCache>
                <c:ptCount val="1"/>
                <c:pt idx="0">
                  <c:v>Продажи</c:v>
                </c:pt>
              </c:strCache>
            </c:strRef>
          </c:tx>
          <c:spPr>
            <a:ln w="12700" cmpd="sng">
              <a:solidFill>
                <a:srgbClr val="FFFFFF"/>
              </a:solidFill>
            </a:ln>
            <a:effectLst/>
          </c:spPr>
          <c:dLbls>
            <c:dLbl>
              <c:idx val="0"/>
              <c:tx>
                <c:rich>
                  <a:bodyPr/>
                  <a:lstStyle/>
                  <a:p>
                    <a:fld id="{F50156A8-D4AC-48EF-A488-95C80E1C855D}" type="CATEGORYNAME">
                      <a:rPr lang="ru-RU"/>
                      <a:pPr/>
                      <a:t>[ИМЯ КАТЕГОРИИ]</a:t>
                    </a:fld>
                    <a:r>
                      <a:rPr lang="ru-RU" baseline="0"/>
                      <a:t> </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40B08A84-7F47-4ABE-BE1C-D1BC75F934CA}" type="CATEGORYNAME">
                      <a:rPr lang="ru-RU"/>
                      <a:pPr/>
                      <a:t>[ИМЯ КАТЕГОРИИ]</a:t>
                    </a:fld>
                    <a:r>
                      <a:rPr lang="ru-RU" baseline="0"/>
                      <a:t> </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EE1A4BCD-74C9-44CC-842F-635A05494130}" type="CATEGORYNAME">
                      <a:rPr lang="ru-RU"/>
                      <a:pPr/>
                      <a:t>[ИМЯ КАТЕГОРИИ]</a:t>
                    </a:fld>
                    <a:endParaRPr lang="ru-RU"/>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3"/>
              <c:layout>
                <c:manualLayout>
                  <c:x val="0.10107010061242343"/>
                  <c:y val="0.14235710951317171"/>
                </c:manualLayout>
              </c:layout>
              <c:tx>
                <c:rich>
                  <a:bodyPr/>
                  <a:lstStyle/>
                  <a:p>
                    <a:fld id="{F95F65F2-8BB7-4180-A729-834EB70EBB3B}" type="CATEGORYNAME">
                      <a:rPr lang="ru-RU"/>
                      <a:pPr/>
                      <a:t>[ИМЯ КАТЕГОРИИ]</a:t>
                    </a:fld>
                    <a:r>
                      <a:rPr lang="ru-RU" baseline="0"/>
                      <a:t> </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0-AF35-441A-8118-ABF04F55DCF5}"/>
                </c:ext>
                <c:ext xmlns:c15="http://schemas.microsoft.com/office/drawing/2012/chart" uri="{CE6537A1-D6FC-4f65-9D91-7224C49458BB}">
                  <c15:layout>
                    <c:manualLayout>
                      <c:w val="0.13871518664333626"/>
                      <c:h val="0.1333458013839536"/>
                    </c:manualLayout>
                  </c15:layout>
                  <c15:dlblFieldTable/>
                  <c15:showDataLabelsRange val="0"/>
                </c:ext>
              </c:extLst>
            </c:dLbl>
            <c:dLbl>
              <c:idx val="4"/>
              <c:layout>
                <c:manualLayout>
                  <c:x val="0.15873614756488783"/>
                  <c:y val="-1.610528532446634E-2"/>
                </c:manualLayout>
              </c:layout>
              <c:tx>
                <c:rich>
                  <a:bodyPr/>
                  <a:lstStyle/>
                  <a:p>
                    <a:fld id="{DAA5571C-2D5F-4266-8360-6E1F7198B3F7}" type="CATEGORYNAME">
                      <a:rPr lang="ru-RU"/>
                      <a:pPr/>
                      <a:t>[ИМЯ КАТЕГОРИИ]</a:t>
                    </a:fld>
                    <a:endParaRPr lang="ru-RU"/>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AF35-441A-8118-ABF04F55DCF5}"/>
                </c:ext>
                <c:ext xmlns:c15="http://schemas.microsoft.com/office/drawing/2012/chart" uri="{CE6537A1-D6FC-4f65-9D91-7224C49458BB}">
                  <c15:dlblFieldTable/>
                  <c15:showDataLabelsRange val="0"/>
                </c:ext>
              </c:extLst>
            </c:dLbl>
            <c:spPr>
              <a:noFill/>
              <a:ln>
                <a:noFill/>
              </a:ln>
              <a:effectLst/>
            </c:spPr>
            <c:txPr>
              <a:bodyPr/>
              <a:lstStyle/>
              <a:p>
                <a:pPr>
                  <a:defRPr sz="1200"/>
                </a:pPr>
                <a:endParaRPr lang="ru-RU"/>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Лист1!$A$2:$A$6</c:f>
              <c:strCache>
                <c:ptCount val="5"/>
                <c:pt idx="0">
                  <c:v>Вымпелком</c:v>
                </c:pt>
                <c:pt idx="1">
                  <c:v>МегаФон</c:v>
                </c:pt>
                <c:pt idx="2">
                  <c:v>МТС</c:v>
                </c:pt>
                <c:pt idx="3">
                  <c:v>Теле2</c:v>
                </c:pt>
                <c:pt idx="4">
                  <c:v>Иные</c:v>
                </c:pt>
              </c:strCache>
            </c:strRef>
          </c:cat>
          <c:val>
            <c:numRef>
              <c:f>Лист1!$B$2:$B$6</c:f>
              <c:numCache>
                <c:formatCode>0%</c:formatCode>
                <c:ptCount val="5"/>
                <c:pt idx="0">
                  <c:v>0.25</c:v>
                </c:pt>
                <c:pt idx="1">
                  <c:v>0.26</c:v>
                </c:pt>
                <c:pt idx="2">
                  <c:v>0.3</c:v>
                </c:pt>
                <c:pt idx="3">
                  <c:v>0.13</c:v>
                </c:pt>
                <c:pt idx="4" formatCode="0.00%">
                  <c:v>0.06</c:v>
                </c:pt>
              </c:numCache>
            </c:numRef>
          </c:val>
          <c:extLst xmlns:c16r2="http://schemas.microsoft.com/office/drawing/2015/06/chart">
            <c:ext xmlns:c16="http://schemas.microsoft.com/office/drawing/2014/chart" uri="{C3380CC4-5D6E-409C-BE32-E72D297353CC}">
              <c16:uniqueId val="{00000002-AF35-441A-8118-ABF04F55DCF5}"/>
            </c:ext>
          </c:extLst>
        </c:ser>
        <c:dLbls>
          <c:showLegendKey val="0"/>
          <c:showVal val="1"/>
          <c:showCatName val="0"/>
          <c:showSerName val="0"/>
          <c:showPercent val="0"/>
          <c:showBubbleSize val="0"/>
          <c:showLeaderLines val="1"/>
        </c:dLbls>
        <c:firstSliceAng val="0"/>
      </c:pieChart>
    </c:plotArea>
    <c:legend>
      <c:legendPos val="r"/>
      <c:overlay val="0"/>
      <c:txPr>
        <a:bodyPr/>
        <a:lstStyle/>
        <a:p>
          <a:pPr rtl="0">
            <a:defRPr sz="1100"/>
          </a:pPr>
          <a:endParaRPr lang="ru-RU"/>
        </a:p>
      </c:txPr>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5E0F1-CD33-4085-B53E-A4D3F669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3252</Words>
  <Characters>18541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Федюков Роман Сергеевич</dc:creator>
  <cp:keywords/>
  <dc:description/>
  <cp:lastModifiedBy>Астамур Эмилевич Дзкуя</cp:lastModifiedBy>
  <cp:revision>6</cp:revision>
  <cp:lastPrinted>2019-12-26T13:14:00Z</cp:lastPrinted>
  <dcterms:created xsi:type="dcterms:W3CDTF">2020-06-04T16:42:00Z</dcterms:created>
  <dcterms:modified xsi:type="dcterms:W3CDTF">2020-08-03T07:24:00Z</dcterms:modified>
</cp:coreProperties>
</file>