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FE" w:rsidRDefault="006602FE" w:rsidP="006602F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606C85">
        <w:rPr>
          <w:rFonts w:ascii="Times New Roman" w:hAnsi="Times New Roman"/>
          <w:bCs/>
          <w:color w:val="000000"/>
          <w:sz w:val="28"/>
          <w:szCs w:val="28"/>
        </w:rPr>
        <w:t>Приложение 1</w:t>
      </w:r>
    </w:p>
    <w:p w:rsidR="006602FE" w:rsidRDefault="007F2CAE" w:rsidP="006602F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 приказу Департамента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информационных технологий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Ханты-Мансийского автономного</w:t>
      </w:r>
    </w:p>
    <w:p w:rsidR="006602FE" w:rsidRDefault="007F2CAE" w:rsidP="006602F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округа – Югры,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Департамента общественных связей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Ханты-Мансийского автономного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округа – Югры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от « 16 » октября 2013 года № 169</w:t>
      </w:r>
    </w:p>
    <w:p w:rsidR="006602FE" w:rsidRPr="00606C85" w:rsidRDefault="006602FE" w:rsidP="006602F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« 30 » октября 2013 года № 279</w:t>
      </w:r>
    </w:p>
    <w:p w:rsidR="007F2CAE" w:rsidRDefault="00345E4E" w:rsidP="00345E4E">
      <w:pPr>
        <w:shd w:val="clear" w:color="auto" w:fill="FFFFFF"/>
        <w:spacing w:after="0" w:line="312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7F2CAE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F2CAE" w:rsidRPr="007F2CAE">
        <w:rPr>
          <w:rFonts w:ascii="Times New Roman" w:hAnsi="Times New Roman"/>
          <w:bCs/>
          <w:color w:val="000000"/>
          <w:sz w:val="28"/>
          <w:szCs w:val="28"/>
        </w:rPr>
        <w:t xml:space="preserve"> изменениями от </w:t>
      </w:r>
      <w:r w:rsidR="007F2CAE">
        <w:rPr>
          <w:rFonts w:ascii="Times New Roman" w:hAnsi="Times New Roman"/>
          <w:bCs/>
          <w:color w:val="000000"/>
          <w:sz w:val="28"/>
          <w:szCs w:val="28"/>
        </w:rPr>
        <w:t>31.10.2014 года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7F2CAE" w:rsidRPr="007F2CAE" w:rsidRDefault="007F2CAE" w:rsidP="006602FE">
      <w:pPr>
        <w:shd w:val="clear" w:color="auto" w:fill="FFFFFF"/>
        <w:spacing w:after="0" w:line="312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6602FE" w:rsidRPr="00BA6B11" w:rsidRDefault="006602FE" w:rsidP="006602FE">
      <w:pPr>
        <w:shd w:val="clear" w:color="auto" w:fill="FFFFFF"/>
        <w:spacing w:after="0" w:line="312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0BC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  <w:r w:rsidRPr="00D80BC4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BA6B11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Pr="00BA6B11">
        <w:rPr>
          <w:rFonts w:ascii="Times New Roman" w:hAnsi="Times New Roman"/>
          <w:b/>
          <w:sz w:val="28"/>
          <w:szCs w:val="28"/>
        </w:rPr>
        <w:t xml:space="preserve">конкурса на лучший официальный сайт органа государственной власти Ханты-Мансийского автономного округа </w:t>
      </w:r>
      <w:r w:rsidRPr="00BA6B11">
        <w:rPr>
          <w:rFonts w:ascii="Times New Roman" w:hAnsi="Times New Roman"/>
          <w:sz w:val="28"/>
          <w:szCs w:val="28"/>
        </w:rPr>
        <w:t>–</w:t>
      </w:r>
      <w:r w:rsidRPr="00BA6B11">
        <w:rPr>
          <w:rFonts w:ascii="Times New Roman" w:hAnsi="Times New Roman"/>
          <w:b/>
          <w:sz w:val="28"/>
          <w:szCs w:val="28"/>
        </w:rPr>
        <w:t xml:space="preserve"> Югры и лучший официальный сайт органа местного самоуправления муниципального образования Ханты-Мансийского автономного округа </w:t>
      </w:r>
      <w:r w:rsidRPr="00BA6B11">
        <w:rPr>
          <w:rFonts w:ascii="Times New Roman" w:hAnsi="Times New Roman"/>
          <w:sz w:val="28"/>
          <w:szCs w:val="28"/>
        </w:rPr>
        <w:t>–</w:t>
      </w:r>
      <w:r w:rsidRPr="00BA6B11">
        <w:rPr>
          <w:rFonts w:ascii="Times New Roman" w:hAnsi="Times New Roman"/>
          <w:b/>
          <w:sz w:val="28"/>
          <w:szCs w:val="28"/>
        </w:rPr>
        <w:t xml:space="preserve"> Югры (далее – Положение)</w:t>
      </w:r>
    </w:p>
    <w:p w:rsidR="006602FE" w:rsidRDefault="006602FE" w:rsidP="006602FE">
      <w:pPr>
        <w:shd w:val="clear" w:color="auto" w:fill="FFFFFF"/>
        <w:spacing w:after="0" w:line="312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02FE" w:rsidRPr="00D80BC4" w:rsidRDefault="006602FE" w:rsidP="006602FE">
      <w:pPr>
        <w:shd w:val="clear" w:color="auto" w:fill="FFFFFF"/>
        <w:spacing w:after="0" w:line="312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0BC4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6602FE" w:rsidRPr="00BA6B11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разработано в соответствии с Федеральным законом от </w:t>
      </w:r>
      <w:r w:rsidRPr="0004064F">
        <w:rPr>
          <w:rFonts w:ascii="Times New Roman" w:hAnsi="Times New Roman"/>
          <w:color w:val="000000"/>
          <w:sz w:val="28"/>
          <w:szCs w:val="28"/>
        </w:rPr>
        <w:t xml:space="preserve">9 февраля 2009 года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4064F">
        <w:rPr>
          <w:rFonts w:ascii="Times New Roman" w:hAnsi="Times New Roman"/>
          <w:color w:val="000000"/>
          <w:sz w:val="28"/>
          <w:szCs w:val="28"/>
        </w:rPr>
        <w:t xml:space="preserve"> 8-ФЗ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4064F">
        <w:rPr>
          <w:rFonts w:ascii="Times New Roman" w:hAnsi="Times New Roman"/>
          <w:color w:val="000000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», Законом Ханты-Мансийского автономного округа – Югры от </w:t>
      </w:r>
      <w:r w:rsidRPr="0004064F">
        <w:rPr>
          <w:rFonts w:ascii="Times New Roman" w:hAnsi="Times New Roman"/>
          <w:color w:val="000000"/>
          <w:sz w:val="28"/>
          <w:szCs w:val="28"/>
        </w:rPr>
        <w:t xml:space="preserve">9 апреля 2010 года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4064F">
        <w:rPr>
          <w:rFonts w:ascii="Times New Roman" w:hAnsi="Times New Roman"/>
          <w:color w:val="000000"/>
          <w:sz w:val="28"/>
          <w:szCs w:val="28"/>
        </w:rPr>
        <w:t xml:space="preserve"> 79-оз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4064F">
        <w:rPr>
          <w:rFonts w:ascii="Times New Roman" w:hAnsi="Times New Roman"/>
          <w:color w:val="000000"/>
          <w:sz w:val="28"/>
          <w:szCs w:val="28"/>
        </w:rPr>
        <w:t xml:space="preserve">Об обеспечении доступа к информации о деятельности органов государственной власти Ханты-Мансийского автономного округа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4064F">
        <w:rPr>
          <w:rFonts w:ascii="Times New Roman" w:hAnsi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/>
          <w:color w:val="000000"/>
          <w:sz w:val="28"/>
          <w:szCs w:val="28"/>
        </w:rPr>
        <w:t xml:space="preserve">», постановлением Правительства Ханты-Мансийского автономного округа – Югры от 20 апреля 2012 года № 140-п «О едином официальном сайте государственных органов Ханты-Мансийского автономного округа – </w:t>
      </w:r>
      <w:r w:rsidRPr="00BA6B11">
        <w:rPr>
          <w:rFonts w:ascii="Times New Roman" w:hAnsi="Times New Roman"/>
          <w:sz w:val="28"/>
          <w:szCs w:val="28"/>
        </w:rPr>
        <w:t xml:space="preserve">Югры» и определяет порядок организации и проведения конкурса на лучший официальный сайт органа государственной власти Ханты-Мансийского автономного округа – Югры (далее – автономный округ) и </w:t>
      </w:r>
      <w:r w:rsidRPr="00BA6B11">
        <w:rPr>
          <w:rFonts w:ascii="Times New Roman" w:hAnsi="Times New Roman"/>
          <w:sz w:val="28"/>
          <w:szCs w:val="28"/>
        </w:rPr>
        <w:lastRenderedPageBreak/>
        <w:t>лучший официальный сайт органа местного самоуправления муниципального образования автономного округа (далее – Конкурс).</w:t>
      </w:r>
    </w:p>
    <w:p w:rsidR="006602FE" w:rsidRPr="00BA6B11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B11">
        <w:rPr>
          <w:rFonts w:ascii="Times New Roman" w:hAnsi="Times New Roman"/>
          <w:sz w:val="28"/>
          <w:szCs w:val="28"/>
        </w:rPr>
        <w:t>1.2. Конкурс проводится Департаментом общественных связей автономного округа совместно с Департаментом информационных технологий автономного округа среди официальных сайтов органов государственной власти автономного округа, органов местного самоуправления муниципальных образований автономного округа (далее – участники).</w:t>
      </w:r>
    </w:p>
    <w:p w:rsidR="006602FE" w:rsidRPr="00D80BC4" w:rsidRDefault="006602FE" w:rsidP="006602FE">
      <w:pPr>
        <w:shd w:val="clear" w:color="auto" w:fill="FFFFFF"/>
        <w:spacing w:after="0" w:line="312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0BC4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Конкурса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>2.1. Конкурс проводится в целях:</w:t>
      </w:r>
    </w:p>
    <w:p w:rsidR="006602FE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1C2">
        <w:rPr>
          <w:rFonts w:ascii="Times New Roman" w:hAnsi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831C2">
        <w:rPr>
          <w:rFonts w:ascii="Times New Roman" w:hAnsi="Times New Roman"/>
          <w:color w:val="000000"/>
          <w:sz w:val="28"/>
          <w:szCs w:val="28"/>
        </w:rPr>
        <w:t xml:space="preserve"> информационной открытости деятельности 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государственной власти </w:t>
      </w:r>
      <w:r w:rsidRPr="00D80BC4">
        <w:rPr>
          <w:rFonts w:ascii="Times New Roman" w:hAnsi="Times New Roman"/>
          <w:sz w:val="28"/>
          <w:szCs w:val="28"/>
        </w:rPr>
        <w:t xml:space="preserve">автономного округа 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80BC4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муниципальных образований автономного округа, </w:t>
      </w:r>
      <w:r w:rsidRPr="005831C2">
        <w:rPr>
          <w:rFonts w:ascii="Times New Roman" w:hAnsi="Times New Roman"/>
          <w:color w:val="000000"/>
          <w:sz w:val="28"/>
          <w:szCs w:val="28"/>
        </w:rPr>
        <w:t>эффективности их взаимодействия с гражданами и организациями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выявления официальных сайтов </w:t>
      </w:r>
      <w:r w:rsidRPr="005831C2">
        <w:rPr>
          <w:rFonts w:ascii="Times New Roman" w:hAnsi="Times New Roman"/>
          <w:color w:val="000000"/>
          <w:sz w:val="28"/>
          <w:szCs w:val="28"/>
        </w:rPr>
        <w:t>органов государственной власти автономного округа и органов местного самоуправления муниципальных образований автономного округа</w:t>
      </w:r>
      <w:r>
        <w:rPr>
          <w:rFonts w:ascii="Times New Roman" w:hAnsi="Times New Roman"/>
          <w:color w:val="000000"/>
          <w:sz w:val="28"/>
          <w:szCs w:val="28"/>
        </w:rPr>
        <w:t>, наиболее качественно, доступно и оперативно, размещающих информацию о своей деятельности,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а также наиболее полно освещающих проблематику муниципальных образований автономного округа или отр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80BC4">
        <w:rPr>
          <w:rFonts w:ascii="Times New Roman" w:hAnsi="Times New Roman"/>
          <w:color w:val="000000"/>
          <w:sz w:val="28"/>
          <w:szCs w:val="28"/>
        </w:rPr>
        <w:t>сли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курируемой органом государственной власти автономного округа.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>2.2. Основными задачами Конкурса являются: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стимулирование наполняемости официальных сайтов </w:t>
      </w:r>
      <w:r w:rsidRPr="005831C2">
        <w:rPr>
          <w:rFonts w:ascii="Times New Roman" w:hAnsi="Times New Roman"/>
          <w:color w:val="000000"/>
          <w:sz w:val="28"/>
          <w:szCs w:val="28"/>
        </w:rPr>
        <w:t>органов государственной власти автономного округа и органов местного самоуправления муниципальных образований автономного округа</w:t>
      </w:r>
      <w:r w:rsidRPr="008D7D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8D7DB6">
        <w:rPr>
          <w:rFonts w:ascii="Times New Roman" w:hAnsi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D7DB6">
        <w:rPr>
          <w:rFonts w:ascii="Times New Roman" w:hAnsi="Times New Roman"/>
          <w:color w:val="000000"/>
          <w:sz w:val="28"/>
          <w:szCs w:val="28"/>
        </w:rPr>
        <w:t xml:space="preserve"> реализации прав граждан и организаций на получение информации о деятельности органов государственной власти автономного округа и органов местного самоуправления муниципальных образований автономного округа;</w:t>
      </w:r>
    </w:p>
    <w:p w:rsidR="006602FE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528">
        <w:rPr>
          <w:rFonts w:ascii="Times New Roman" w:hAnsi="Times New Roman"/>
          <w:color w:val="000000"/>
          <w:sz w:val="28"/>
          <w:szCs w:val="28"/>
        </w:rPr>
        <w:t>активизация деятельности органов государственной власти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автономного округа</w:t>
      </w:r>
      <w:r w:rsidRPr="00A43528">
        <w:rPr>
          <w:rFonts w:ascii="Times New Roman" w:hAnsi="Times New Roman"/>
          <w:color w:val="000000"/>
          <w:sz w:val="28"/>
          <w:szCs w:val="28"/>
        </w:rPr>
        <w:t xml:space="preserve"> и органов местного самоуправления муниципальных образований автономного округа по внедрению информацион</w:t>
      </w:r>
      <w:r>
        <w:rPr>
          <w:rFonts w:ascii="Times New Roman" w:hAnsi="Times New Roman"/>
          <w:color w:val="000000"/>
          <w:sz w:val="28"/>
          <w:szCs w:val="28"/>
        </w:rPr>
        <w:t>но-коммуникационных технологий.</w:t>
      </w:r>
    </w:p>
    <w:p w:rsidR="006602FE" w:rsidRPr="00D80BC4" w:rsidRDefault="006602FE" w:rsidP="002919BE">
      <w:pPr>
        <w:shd w:val="clear" w:color="auto" w:fill="FFFFFF"/>
        <w:spacing w:after="0" w:line="312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D80BC4">
        <w:rPr>
          <w:rFonts w:ascii="Times New Roman" w:hAnsi="Times New Roman"/>
          <w:b/>
          <w:color w:val="000000"/>
          <w:sz w:val="28"/>
          <w:szCs w:val="28"/>
        </w:rPr>
        <w:t xml:space="preserve">3. Номинации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Конкурса </w:t>
      </w:r>
      <w:r w:rsidRPr="00D80BC4">
        <w:rPr>
          <w:rFonts w:ascii="Times New Roman" w:hAnsi="Times New Roman"/>
          <w:b/>
          <w:color w:val="000000"/>
          <w:sz w:val="28"/>
          <w:szCs w:val="28"/>
        </w:rPr>
        <w:t xml:space="preserve">и критерии оценки 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участников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lastRenderedPageBreak/>
        <w:t xml:space="preserve">3.1. Конкурс проводится по </w:t>
      </w:r>
      <w:r>
        <w:rPr>
          <w:rFonts w:ascii="Times New Roman" w:hAnsi="Times New Roman"/>
          <w:color w:val="000000"/>
          <w:sz w:val="28"/>
          <w:szCs w:val="28"/>
        </w:rPr>
        <w:t>двум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номинациям:</w:t>
      </w:r>
    </w:p>
    <w:p w:rsidR="006602FE" w:rsidRPr="00BA6B11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B11">
        <w:rPr>
          <w:rFonts w:ascii="Times New Roman" w:hAnsi="Times New Roman"/>
          <w:sz w:val="28"/>
          <w:szCs w:val="28"/>
        </w:rPr>
        <w:t xml:space="preserve">лучший официальный сайт органа государственной власти автономного округа; </w:t>
      </w:r>
    </w:p>
    <w:p w:rsidR="006602FE" w:rsidRPr="00BA6B11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B11">
        <w:rPr>
          <w:rFonts w:ascii="Times New Roman" w:hAnsi="Times New Roman"/>
          <w:sz w:val="28"/>
          <w:szCs w:val="28"/>
        </w:rPr>
        <w:t>лучший официальный сайт органа местного самоуправления муниципального образования автономного округа.</w:t>
      </w:r>
    </w:p>
    <w:p w:rsidR="006602FE" w:rsidRPr="00BA6B11" w:rsidRDefault="006602FE" w:rsidP="006602FE">
      <w:pPr>
        <w:shd w:val="clear" w:color="auto" w:fill="FFFFFF"/>
        <w:tabs>
          <w:tab w:val="left" w:pos="993"/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B11">
        <w:rPr>
          <w:rFonts w:ascii="Times New Roman" w:hAnsi="Times New Roman"/>
          <w:sz w:val="28"/>
          <w:szCs w:val="28"/>
        </w:rPr>
        <w:t>3.2. Оценка официальных сайтов органов государственной власти автономного округа и официальных сайтов органов местного самоуправления муниципальных образований автономного округа осуществляется в соответствии с критериями, установленными соответственно в Приложениях 1, 2 к настоящему Положению, в бальной системе.</w:t>
      </w:r>
    </w:p>
    <w:p w:rsidR="006602FE" w:rsidRPr="00BA6B11" w:rsidRDefault="006602FE" w:rsidP="006602FE">
      <w:pPr>
        <w:shd w:val="clear" w:color="auto" w:fill="FFFFFF"/>
        <w:tabs>
          <w:tab w:val="left" w:pos="993"/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B11">
        <w:rPr>
          <w:rFonts w:ascii="Times New Roman" w:hAnsi="Times New Roman"/>
          <w:sz w:val="28"/>
          <w:szCs w:val="28"/>
        </w:rPr>
        <w:t>Победителями в номинациях признаются: официальный сайт органа государственной власти автономного округа и официальный сайт органа местного самоуправления муниципальных образований автономного округа, набравшие наибольшее количество баллов.</w:t>
      </w:r>
    </w:p>
    <w:p w:rsidR="006602FE" w:rsidRPr="00D80BC4" w:rsidRDefault="006602FE" w:rsidP="006602FE">
      <w:pPr>
        <w:shd w:val="clear" w:color="auto" w:fill="FFFFFF"/>
        <w:spacing w:after="0" w:line="312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D80BC4">
        <w:rPr>
          <w:rFonts w:ascii="Times New Roman" w:hAnsi="Times New Roman"/>
          <w:b/>
          <w:color w:val="000000"/>
          <w:sz w:val="28"/>
          <w:szCs w:val="28"/>
        </w:rPr>
        <w:t>4. Сроки и условия проведения Конкурса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 xml:space="preserve">4.1. Конкурс проводится ежегодно с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Pr="00D80BC4">
        <w:rPr>
          <w:rFonts w:ascii="Times New Roman" w:hAnsi="Times New Roman"/>
          <w:color w:val="000000"/>
          <w:sz w:val="28"/>
          <w:szCs w:val="28"/>
        </w:rPr>
        <w:t>ября по 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декабря.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>4.2. Конкурс включает в себя следующие этапы: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>4.2.1. Размещение информации о Конкурсе на</w:t>
      </w:r>
      <w:r w:rsidRPr="00D80BC4">
        <w:rPr>
          <w:rFonts w:ascii="Times New Roman" w:hAnsi="Times New Roman"/>
          <w:sz w:val="28"/>
          <w:szCs w:val="28"/>
        </w:rPr>
        <w:t xml:space="preserve"> </w:t>
      </w:r>
      <w:r w:rsidRPr="00D80BC4">
        <w:rPr>
          <w:rStyle w:val="pre"/>
          <w:rFonts w:ascii="Times New Roman" w:hAnsi="Times New Roman"/>
          <w:sz w:val="28"/>
          <w:szCs w:val="28"/>
        </w:rPr>
        <w:t>едином официальном сайте государственных органов автономного округа</w:t>
      </w:r>
      <w:r>
        <w:rPr>
          <w:rStyle w:val="pre"/>
          <w:rFonts w:ascii="Times New Roman" w:hAnsi="Times New Roman"/>
          <w:sz w:val="28"/>
          <w:szCs w:val="28"/>
        </w:rPr>
        <w:t xml:space="preserve"> </w:t>
      </w:r>
      <w:r w:rsidRPr="00D80BC4">
        <w:rPr>
          <w:rFonts w:ascii="Times New Roman" w:hAnsi="Times New Roman"/>
          <w:spacing w:val="-1"/>
          <w:sz w:val="28"/>
          <w:szCs w:val="28"/>
        </w:rPr>
        <w:t>в информационно-телекоммуникационной сети «Интернет» (далее 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4CE5">
        <w:rPr>
          <w:rFonts w:ascii="Times New Roman" w:hAnsi="Times New Roman"/>
          <w:spacing w:val="-1"/>
          <w:sz w:val="28"/>
          <w:szCs w:val="28"/>
        </w:rPr>
        <w:t>единый официальный сайт</w:t>
      </w:r>
      <w:r>
        <w:rPr>
          <w:rFonts w:ascii="Times New Roman" w:hAnsi="Times New Roman"/>
          <w:spacing w:val="-1"/>
          <w:sz w:val="28"/>
          <w:szCs w:val="28"/>
        </w:rPr>
        <w:t xml:space="preserve">) 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– в срок до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Pr="00D80BC4">
        <w:rPr>
          <w:rFonts w:ascii="Times New Roman" w:hAnsi="Times New Roman"/>
          <w:color w:val="000000"/>
          <w:sz w:val="28"/>
          <w:szCs w:val="28"/>
        </w:rPr>
        <w:t>ября.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 xml:space="preserve">4.2.2.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80BC4">
        <w:rPr>
          <w:rFonts w:ascii="Times New Roman" w:hAnsi="Times New Roman"/>
          <w:color w:val="000000"/>
          <w:sz w:val="28"/>
          <w:szCs w:val="28"/>
        </w:rPr>
        <w:t>ценк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42DE">
        <w:rPr>
          <w:rFonts w:ascii="Times New Roman" w:hAnsi="Times New Roman"/>
          <w:sz w:val="28"/>
          <w:szCs w:val="28"/>
        </w:rPr>
        <w:t>официальных сайтов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Pr="008A42DE">
        <w:rPr>
          <w:rFonts w:ascii="Times New Roman" w:hAnsi="Times New Roman"/>
          <w:sz w:val="28"/>
          <w:szCs w:val="28"/>
        </w:rPr>
        <w:t>ов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государственной власти автономного округа и официальн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муниципальных образований автономного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на соответствие установленным критериям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– в период с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ноября по 10 декабря.</w:t>
      </w:r>
    </w:p>
    <w:p w:rsidR="006602FE" w:rsidRPr="00BA6B11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 xml:space="preserve">4.2.3.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F0AA9">
        <w:rPr>
          <w:rFonts w:ascii="Times New Roman" w:hAnsi="Times New Roman"/>
          <w:color w:val="000000"/>
          <w:sz w:val="28"/>
          <w:szCs w:val="28"/>
        </w:rPr>
        <w:t xml:space="preserve">одведение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предварительных </w:t>
      </w:r>
      <w:r w:rsidRPr="00EF0AA9">
        <w:rPr>
          <w:rFonts w:ascii="Times New Roman" w:hAnsi="Times New Roman"/>
          <w:color w:val="000000"/>
          <w:sz w:val="28"/>
          <w:szCs w:val="28"/>
        </w:rPr>
        <w:t>итогов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F0A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6B11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hAnsi="Times New Roman"/>
          <w:sz w:val="28"/>
          <w:szCs w:val="28"/>
        </w:rPr>
        <w:t xml:space="preserve">оценочных листов </w:t>
      </w:r>
      <w:r w:rsidRPr="00BA6B11">
        <w:rPr>
          <w:rFonts w:ascii="Times New Roman" w:hAnsi="Times New Roman"/>
          <w:sz w:val="28"/>
          <w:szCs w:val="28"/>
        </w:rPr>
        <w:t>на едином официальном сайте, для ознакомления</w:t>
      </w:r>
      <w:r w:rsidRPr="00BA6B11">
        <w:rPr>
          <w:rFonts w:ascii="Times New Roman" w:hAnsi="Times New Roman"/>
        </w:rPr>
        <w:t xml:space="preserve"> </w:t>
      </w:r>
      <w:r w:rsidRPr="00BA6B11">
        <w:rPr>
          <w:rFonts w:ascii="Times New Roman" w:hAnsi="Times New Roman"/>
          <w:sz w:val="28"/>
          <w:szCs w:val="28"/>
        </w:rPr>
        <w:t>органов государственной власти и органов местного самоуправления муниципальных образований автономного округа и дальнейшего взаимодействия по возникшим вопросам</w:t>
      </w:r>
      <w:r w:rsidRPr="00BA6B11">
        <w:rPr>
          <w:rFonts w:ascii="Times New Roman" w:hAnsi="Times New Roman"/>
        </w:rPr>
        <w:t xml:space="preserve"> </w:t>
      </w:r>
      <w:r w:rsidRPr="00BA6B11">
        <w:rPr>
          <w:rFonts w:ascii="Times New Roman" w:hAnsi="Times New Roman"/>
          <w:sz w:val="28"/>
          <w:szCs w:val="28"/>
        </w:rPr>
        <w:t>– в срок до 15 декабря.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lastRenderedPageBreak/>
        <w:t xml:space="preserve">4.2.4. Подведение итогов Конкурса, определение победителей Конкурса и размещение информации о результатах проведения Конкурса на  </w:t>
      </w:r>
      <w:r w:rsidRPr="00D80BC4">
        <w:rPr>
          <w:rStyle w:val="pre"/>
          <w:rFonts w:ascii="Times New Roman" w:hAnsi="Times New Roman"/>
          <w:sz w:val="28"/>
          <w:szCs w:val="28"/>
        </w:rPr>
        <w:t xml:space="preserve">едином официальном сайте в </w:t>
      </w:r>
      <w:r w:rsidRPr="00D80BC4">
        <w:rPr>
          <w:rFonts w:ascii="Times New Roman" w:hAnsi="Times New Roman"/>
          <w:spacing w:val="-1"/>
          <w:sz w:val="28"/>
          <w:szCs w:val="28"/>
        </w:rPr>
        <w:t>сети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0BC4">
        <w:rPr>
          <w:rFonts w:ascii="Times New Roman" w:hAnsi="Times New Roman"/>
          <w:color w:val="000000"/>
          <w:sz w:val="28"/>
          <w:szCs w:val="28"/>
        </w:rPr>
        <w:t>– в срок до 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декабря.</w:t>
      </w:r>
    </w:p>
    <w:p w:rsidR="006602FE" w:rsidRPr="00D80BC4" w:rsidRDefault="006602FE" w:rsidP="006602FE">
      <w:pPr>
        <w:shd w:val="clear" w:color="auto" w:fill="FFFFFF"/>
        <w:spacing w:after="0" w:line="312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D80BC4">
        <w:rPr>
          <w:rFonts w:ascii="Times New Roman" w:hAnsi="Times New Roman"/>
          <w:b/>
          <w:color w:val="000000"/>
          <w:sz w:val="28"/>
          <w:szCs w:val="28"/>
        </w:rPr>
        <w:t>5. Проведение Конкурса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>5.1. Для проведения Конкурса создается комиссия из представителей Департамента общественных связей автономного округа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B18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BC4">
        <w:rPr>
          <w:rFonts w:ascii="Times New Roman" w:hAnsi="Times New Roman"/>
          <w:color w:val="000000"/>
          <w:sz w:val="28"/>
          <w:szCs w:val="28"/>
        </w:rPr>
        <w:t>Департамента информационных технологий автономного округа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иных органов государственной власти автономного округа, общественных советов, сформированных при государственных органах автономного округа </w:t>
      </w:r>
      <w:r w:rsidRPr="00D80BC4">
        <w:rPr>
          <w:rFonts w:ascii="Times New Roman" w:hAnsi="Times New Roman"/>
          <w:color w:val="000000"/>
          <w:sz w:val="28"/>
          <w:szCs w:val="28"/>
        </w:rPr>
        <w:t>(далее – Комиссия).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>5.2. Состав Комиссии формируется из председателя Комиссии, заместителя председателя Комиссии, секретаря Комиссии и членов комиссии. Работой комиссии руководит председатель Комиссии</w:t>
      </w:r>
      <w:r>
        <w:rPr>
          <w:rFonts w:ascii="Times New Roman" w:hAnsi="Times New Roman"/>
          <w:color w:val="000000"/>
          <w:sz w:val="28"/>
          <w:szCs w:val="28"/>
        </w:rPr>
        <w:t>, а в его отсутствие или по его поручению – заместитель председателя Комиссии</w:t>
      </w:r>
      <w:r w:rsidRPr="00D80BC4">
        <w:rPr>
          <w:rFonts w:ascii="Times New Roman" w:hAnsi="Times New Roman"/>
          <w:color w:val="000000"/>
          <w:sz w:val="28"/>
          <w:szCs w:val="28"/>
        </w:rPr>
        <w:t>.</w:t>
      </w:r>
    </w:p>
    <w:p w:rsidR="006602FE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 xml:space="preserve">5.3. Комиссия </w:t>
      </w:r>
      <w:r w:rsidRPr="007F3A7C">
        <w:rPr>
          <w:rFonts w:ascii="Times New Roman" w:hAnsi="Times New Roman"/>
          <w:color w:val="000000"/>
          <w:sz w:val="28"/>
          <w:szCs w:val="28"/>
        </w:rPr>
        <w:t>оценивает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официальные</w:t>
      </w:r>
      <w:r w:rsidRPr="007F3A7C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4726B4">
        <w:rPr>
          <w:rFonts w:ascii="Times New Roman" w:hAnsi="Times New Roman"/>
          <w:color w:val="000000"/>
          <w:sz w:val="28"/>
          <w:szCs w:val="28"/>
        </w:rPr>
        <w:t>органов государственной власти автономного округа и официальны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726B4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726B4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муниципальных образований автономного округа</w:t>
      </w:r>
      <w:r w:rsidRPr="007F3A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критериями, установленными</w:t>
      </w:r>
      <w:r w:rsidRPr="007F3A7C">
        <w:rPr>
          <w:rFonts w:ascii="Times New Roman" w:hAnsi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7F3A7C">
        <w:rPr>
          <w:rFonts w:ascii="Times New Roman" w:hAnsi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8A42DE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определяет победителей Конкурса. </w:t>
      </w:r>
    </w:p>
    <w:p w:rsidR="006602FE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>Оценка участников Конкурса определяется путем арифметического суммирования оценок членов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по официальному сайту каждого органа государственной власти автономного округа и органа местного самоуправления муниципальных образований автономного округа.</w:t>
      </w:r>
    </w:p>
    <w:p w:rsidR="006602FE" w:rsidRPr="00D80BC4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 xml:space="preserve">Решение Комиссии оформляется протоколом, который подписывается всеми присутствующими </w:t>
      </w:r>
      <w:r>
        <w:rPr>
          <w:rFonts w:ascii="Times New Roman" w:hAnsi="Times New Roman"/>
          <w:color w:val="000000"/>
          <w:sz w:val="28"/>
          <w:szCs w:val="28"/>
        </w:rPr>
        <w:t xml:space="preserve">на заседании </w:t>
      </w:r>
      <w:r w:rsidRPr="00D80BC4">
        <w:rPr>
          <w:rFonts w:ascii="Times New Roman" w:hAnsi="Times New Roman"/>
          <w:color w:val="000000"/>
          <w:sz w:val="28"/>
          <w:szCs w:val="28"/>
        </w:rPr>
        <w:t>членами комиссии.</w:t>
      </w:r>
    </w:p>
    <w:p w:rsidR="006602FE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734E6">
        <w:rPr>
          <w:rFonts w:ascii="Times New Roman" w:hAnsi="Times New Roman"/>
          <w:color w:val="000000"/>
          <w:sz w:val="28"/>
          <w:szCs w:val="28"/>
        </w:rPr>
        <w:t>Официальному сайту орган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734E6">
        <w:rPr>
          <w:rFonts w:ascii="Times New Roman" w:hAnsi="Times New Roman"/>
          <w:color w:val="000000"/>
          <w:sz w:val="28"/>
          <w:szCs w:val="28"/>
        </w:rPr>
        <w:t xml:space="preserve"> государственной власти автономного округа, набравшему наибо</w:t>
      </w:r>
      <w:r>
        <w:rPr>
          <w:rFonts w:ascii="Times New Roman" w:hAnsi="Times New Roman"/>
          <w:color w:val="000000"/>
          <w:sz w:val="28"/>
          <w:szCs w:val="28"/>
        </w:rPr>
        <w:t>льшее количество баллов</w:t>
      </w:r>
      <w:r w:rsidRPr="000734E6">
        <w:rPr>
          <w:rFonts w:ascii="Times New Roman" w:hAnsi="Times New Roman"/>
          <w:color w:val="000000"/>
          <w:sz w:val="28"/>
          <w:szCs w:val="28"/>
        </w:rPr>
        <w:t>, присваивается звание «Лучший официальный сайт орган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734E6">
        <w:rPr>
          <w:rFonts w:ascii="Times New Roman" w:hAnsi="Times New Roman"/>
          <w:color w:val="000000"/>
          <w:sz w:val="28"/>
          <w:szCs w:val="28"/>
        </w:rPr>
        <w:t xml:space="preserve"> государственной власти автономного округа».</w:t>
      </w:r>
    </w:p>
    <w:p w:rsidR="006602FE" w:rsidRPr="00BA6B11" w:rsidRDefault="006602FE" w:rsidP="006602F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</w:t>
      </w:r>
      <w:r w:rsidRPr="00D80BC4">
        <w:rPr>
          <w:rFonts w:ascii="Times New Roman" w:hAnsi="Times New Roman"/>
          <w:color w:val="000000"/>
          <w:sz w:val="28"/>
          <w:szCs w:val="28"/>
        </w:rPr>
        <w:t>Официальному сайту орган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муниципальн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 автономного округа, набравшему наибо</w:t>
      </w:r>
      <w:r>
        <w:rPr>
          <w:rFonts w:ascii="Times New Roman" w:hAnsi="Times New Roman"/>
          <w:color w:val="000000"/>
          <w:sz w:val="28"/>
          <w:szCs w:val="28"/>
        </w:rPr>
        <w:t>льшее количество баллов</w:t>
      </w:r>
      <w:r w:rsidRPr="00D80BC4">
        <w:rPr>
          <w:rFonts w:ascii="Times New Roman" w:hAnsi="Times New Roman"/>
          <w:color w:val="000000"/>
          <w:sz w:val="28"/>
          <w:szCs w:val="28"/>
        </w:rPr>
        <w:t xml:space="preserve">, присваивается звание «Лучший </w:t>
      </w:r>
      <w:r w:rsidRPr="00BA6B11">
        <w:rPr>
          <w:rFonts w:ascii="Times New Roman" w:hAnsi="Times New Roman"/>
          <w:sz w:val="28"/>
          <w:szCs w:val="28"/>
        </w:rPr>
        <w:t>официальный сайт органа местного самоуправления муниципального образования автономного округа».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80BC4"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Положению о проведении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>ежегодного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на лучший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официальный сайт органов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государственной власти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>Ханты-Мансийского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1634">
        <w:rPr>
          <w:rFonts w:ascii="Times New Roman" w:hAnsi="Times New Roman"/>
          <w:color w:val="000000"/>
          <w:sz w:val="28"/>
          <w:szCs w:val="28"/>
        </w:rPr>
        <w:t>автономного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 xml:space="preserve"> окр</w:t>
      </w:r>
      <w:r>
        <w:rPr>
          <w:rFonts w:ascii="Times New Roman" w:hAnsi="Times New Roman"/>
          <w:color w:val="000000"/>
          <w:sz w:val="28"/>
          <w:szCs w:val="28"/>
        </w:rPr>
        <w:t>уга – Югры и лучший официальный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>сайт органов местного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самоуправления муниципальных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>образований Ханты-Мансийского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 xml:space="preserve"> автономного округа – Югры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602FE" w:rsidRPr="00143810" w:rsidRDefault="006602FE" w:rsidP="006602F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143810">
        <w:rPr>
          <w:rFonts w:ascii="Times New Roman" w:hAnsi="Times New Roman"/>
          <w:b/>
          <w:sz w:val="28"/>
          <w:szCs w:val="28"/>
        </w:rPr>
        <w:t xml:space="preserve">Критерии оценки официальных сайтов </w:t>
      </w:r>
    </w:p>
    <w:p w:rsidR="006602FE" w:rsidRDefault="006602FE" w:rsidP="006602F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органов государственной власти </w:t>
      </w:r>
      <w:r w:rsidRPr="00143810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/>
          <w:b/>
          <w:sz w:val="28"/>
          <w:szCs w:val="28"/>
        </w:rPr>
        <w:t>–</w:t>
      </w:r>
      <w:r w:rsidRPr="00143810">
        <w:rPr>
          <w:rFonts w:ascii="Times New Roman" w:hAnsi="Times New Roman"/>
          <w:b/>
          <w:sz w:val="28"/>
          <w:szCs w:val="28"/>
        </w:rPr>
        <w:t xml:space="preserve"> Югры</w:t>
      </w:r>
    </w:p>
    <w:p w:rsidR="006602FE" w:rsidRPr="00BB15ED" w:rsidRDefault="006602FE" w:rsidP="006602F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1" w:type="dxa"/>
        <w:tblInd w:w="-318" w:type="dxa"/>
        <w:tblLook w:val="04A0"/>
      </w:tblPr>
      <w:tblGrid>
        <w:gridCol w:w="710"/>
        <w:gridCol w:w="8951"/>
      </w:tblGrid>
      <w:tr w:rsidR="001B1795" w:rsidRPr="00EE3555" w:rsidTr="001B1795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оценки*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Полное и сокращенное наименование органа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почтовый адрес, адрес электронной почты, номера телефонов справочной службы и при наличии телефон пресс-службы и телефон доверия, адрес официального сайта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Полномочия органа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с указанием реквизитов нормативного правового акта их определяющих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органа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с указанием реквизитов нормативного правового акта, ее утверждающего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руководителе и заместителях руководителя органа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его структурных подразделений, подведомственных ему учреждений, в частности, фамилии, имена, отчества, фотографии, контактная информация, а также биографические сведения, по согласованию с указанными лицами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структурных подразделениях органа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сведения об их задачах и функциях, а также почтовые адреса, адреса электронной почты (при наличии), номера телефонов справочных служб указанных подразделений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подведомственных учреждений (при наличии), сведения об их задачах и функциях, а также почтовые адреса, адреса  официального сайта, адреса электронной почты (при наличии), номера телефонов справочных служб подведомственных учреждений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и тексты нормативных правовых актов, изданных органом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включая сведения о внесении в них изменений, признании их утратившими силу, а также сведения о государственной регистрации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Проекты правовых актов, разрабатываемых органом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(проекты законов автономного округа, постановлений и распоряжений Губернатора автономного округа, Правительства автономного округа, приказов)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Планы и показатели деятельности органа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округа, 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отчеты об исполнении планов и показателей деятельности органа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государственных программ, целевых программ и ведомственных целевых программ, государственным заказчиком - координатором которых является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Основные сведения о результатах реализации государственных программ, целевых программ и ведомственных целевых программ, государственным заказчиком - координатором которых является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выполнении целевых показателей, об объеме затраченных на выполнение программы финансовых ресурсов, а также сведения о реализации программных мероприятий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Тексты официальных выступлений и заявлений руководителей и заместителей руководителей органа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государственной власти автономного округа 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(или электронные ссылки)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Информация о результатах проверок, проведенных органом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государственной власти автономного округа 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в пределах их полномочий, а также о результатах проверок, проведенных в органе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его подведомственных учреждениях</w:t>
            </w:r>
          </w:p>
        </w:tc>
      </w:tr>
      <w:tr w:rsidR="001B1795" w:rsidRPr="00EE3555" w:rsidTr="001B1795">
        <w:trPr>
          <w:trHeight w:val="3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Статистическая информация о деятельности органа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координационных и совещательных органов, образованных органом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составе координационных и совещательных органов (фамилии, имена, отчества, должности руководителей и членов координационных и совещательных органов), а также адрес местонахождения, номера телефонов (факса), адрес электронной почты</w:t>
            </w:r>
          </w:p>
        </w:tc>
      </w:tr>
      <w:tr w:rsidR="001B1795" w:rsidRPr="00EE3555" w:rsidTr="001B1795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заседаниях координационных и совещательных органов, в частности анонсы заседаний, протоколы заседаний координационных и совещательных органов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в органе</w:t>
            </w:r>
            <w:r>
              <w:t xml:space="preserve">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его подведомственных учреждениях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 и отчество руководителя структурного подразделения или иного должностного лица органа</w:t>
            </w:r>
            <w:r>
              <w:t xml:space="preserve">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подведомственного учреждения,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 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и принятых мерах</w:t>
            </w:r>
          </w:p>
        </w:tc>
      </w:tr>
      <w:tr w:rsidR="001B1795" w:rsidRPr="00EE3555" w:rsidTr="001B1795">
        <w:trPr>
          <w:trHeight w:val="4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Порядок поступления граждан на государственную гражданскую службу</w:t>
            </w:r>
            <w:r w:rsidRPr="00CD7E7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t xml:space="preserve">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 вакантных должностях государственной гражданской службы, имеющихся в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Квалификационные требования к кандидатам на замещение вакантных должностей государственной гражданской службы в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конкурсов на замещение вакантных должностей государственной гражданской службы</w:t>
            </w:r>
            <w:r w:rsidRPr="00CD7E7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t xml:space="preserve">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Номера телефонов, адрес электронной почты, по которым можно получить информацию по вопросу замещения вакантных должностей в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Составы комиссий по организации и проведению конкурсов на замещение вакантных должностей государственной гражданской службы в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Порядок обжалования результатов конкурсов на замещение вакантных должностей государственной гражданской службы 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Положение и состав комиссии по соблюдению требований к служебному поведению государственных гражданских служащих автономного округа и урегулированию конфликта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интересов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Информация о заседаниях комиссии по соблюдению требований к служебному поведению государственных гражданских служащих автономного округа и урегулированию конфликта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интересов 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Порядок направления информации, являющейся основанием для проведения заседания комиссии по соблюдению требований к служебному поведению государственных гражданских служащих автономного округа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урегулированию конфликта интересов 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, требования к данной информации, порядок ее рассмотрения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График работы подразделения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правонарушений), почтовый адрес и адрес электронной почты, по которым принимается информация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Формы, бланки, заполняемые государственными гражданскими служащими, гражданами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Информация о принимаемых мерах по противодействию коррупции в 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D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его подведомственных учреждениях: </w:t>
            </w:r>
          </w:p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законодательство, регулирующее вопросы противодействия коррупции;</w:t>
            </w:r>
          </w:p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 «Об утверждении Перечня должностей государственной гражданской службы Ханты-Мансийского автономного округа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Югры в исполнительном органе,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га) и несовершеннолетних детей»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лиц, замещающих должности в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2274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12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власти автономного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подведомственных ему учреждений, их супругов и несовершеннолетних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для которых нормативными правовыми актами автономного округа установлена обязанность по предоставлению таких сведений</w:t>
            </w:r>
          </w:p>
        </w:tc>
      </w:tr>
      <w:tr w:rsidR="001B1795" w:rsidRPr="00EE3555" w:rsidTr="001B179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Общественных советах при органах государственной власти (состав, положение, план работы, законодательство, информация о заседаниях)</w:t>
            </w:r>
          </w:p>
        </w:tc>
      </w:tr>
      <w:tr w:rsidR="001B1795" w:rsidRPr="00EE3555" w:rsidTr="001B179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новостных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сообщений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графика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информации в разделе «Открытые данные»</w:t>
            </w:r>
          </w:p>
        </w:tc>
      </w:tr>
      <w:tr w:rsidR="001B1795" w:rsidRPr="00EE3555" w:rsidTr="001B179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95" w:rsidRPr="00EE3555" w:rsidRDefault="001B1795" w:rsidP="001B1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7C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результатах исполнения поручений Президента Российской Федерации</w:t>
            </w:r>
          </w:p>
        </w:tc>
      </w:tr>
    </w:tbl>
    <w:p w:rsidR="006602FE" w:rsidRPr="00EE3555" w:rsidRDefault="006602FE" w:rsidP="006602FE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6602FE" w:rsidRPr="00EE3555" w:rsidRDefault="006602FE" w:rsidP="006602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3555">
        <w:rPr>
          <w:rFonts w:ascii="Times New Roman" w:hAnsi="Times New Roman"/>
          <w:sz w:val="28"/>
          <w:szCs w:val="28"/>
        </w:rPr>
        <w:t xml:space="preserve">* </w:t>
      </w:r>
      <w:r w:rsidRPr="00EE3555">
        <w:rPr>
          <w:rFonts w:ascii="Times New Roman" w:hAnsi="Times New Roman"/>
          <w:color w:val="000000"/>
          <w:sz w:val="28"/>
          <w:szCs w:val="28"/>
        </w:rPr>
        <w:t>При оценке критериев 1-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1B1795">
        <w:rPr>
          <w:rFonts w:ascii="Times New Roman" w:hAnsi="Times New Roman"/>
          <w:color w:val="000000"/>
          <w:sz w:val="28"/>
          <w:szCs w:val="28"/>
        </w:rPr>
        <w:t>8</w:t>
      </w:r>
      <w:r w:rsidRPr="00EE3555">
        <w:rPr>
          <w:rFonts w:ascii="Times New Roman" w:hAnsi="Times New Roman"/>
          <w:color w:val="000000"/>
          <w:sz w:val="28"/>
          <w:szCs w:val="28"/>
        </w:rPr>
        <w:t xml:space="preserve"> выставляются баллы:</w:t>
      </w:r>
    </w:p>
    <w:p w:rsidR="006602FE" w:rsidRPr="00EE3555" w:rsidRDefault="006602FE" w:rsidP="006602FE">
      <w:pPr>
        <w:shd w:val="clear" w:color="auto" w:fill="FFFFFF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0 - информация отсутствует</w:t>
      </w:r>
    </w:p>
    <w:p w:rsidR="006602FE" w:rsidRPr="00EE3555" w:rsidRDefault="006602FE" w:rsidP="006602FE">
      <w:pPr>
        <w:shd w:val="clear" w:color="auto" w:fill="FFFFFF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EE3555">
        <w:rPr>
          <w:rFonts w:ascii="Times New Roman" w:hAnsi="Times New Roman"/>
          <w:color w:val="000000"/>
          <w:sz w:val="28"/>
          <w:szCs w:val="28"/>
        </w:rPr>
        <w:t xml:space="preserve">1 - информация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размещена </w:t>
      </w:r>
      <w:r w:rsidRPr="00EE3555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>в полном объеме</w:t>
      </w:r>
    </w:p>
    <w:p w:rsidR="006602FE" w:rsidRPr="00EE3555" w:rsidRDefault="006602FE" w:rsidP="006602FE">
      <w:pPr>
        <w:shd w:val="clear" w:color="auto" w:fill="FFFFFF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EE3555">
        <w:rPr>
          <w:rFonts w:ascii="Times New Roman" w:hAnsi="Times New Roman"/>
          <w:color w:val="000000"/>
          <w:sz w:val="28"/>
          <w:szCs w:val="28"/>
        </w:rPr>
        <w:t xml:space="preserve">2 - информация </w:t>
      </w:r>
      <w:r>
        <w:rPr>
          <w:rFonts w:ascii="Times New Roman" w:hAnsi="Times New Roman"/>
          <w:color w:val="000000"/>
          <w:sz w:val="28"/>
          <w:szCs w:val="28"/>
        </w:rPr>
        <w:t>размещена в полном объеме</w:t>
      </w:r>
    </w:p>
    <w:p w:rsidR="006602FE" w:rsidRPr="00EE3555" w:rsidRDefault="006602FE" w:rsidP="006602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оценке критериев 3</w:t>
      </w:r>
      <w:r w:rsidR="001B179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1B179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E3555">
        <w:rPr>
          <w:rFonts w:ascii="Times New Roman" w:hAnsi="Times New Roman"/>
          <w:color w:val="000000"/>
          <w:sz w:val="28"/>
          <w:szCs w:val="28"/>
        </w:rPr>
        <w:t xml:space="preserve"> выставляются баллы:</w:t>
      </w:r>
    </w:p>
    <w:p w:rsidR="006602FE" w:rsidRPr="00EE3555" w:rsidRDefault="006602FE" w:rsidP="006602FE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0 - нет</w:t>
      </w:r>
    </w:p>
    <w:p w:rsidR="006602FE" w:rsidRPr="00EE3555" w:rsidRDefault="006602FE" w:rsidP="006602FE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1 - да</w:t>
      </w:r>
    </w:p>
    <w:p w:rsidR="006602FE" w:rsidRPr="00EE3555" w:rsidRDefault="006602FE" w:rsidP="006602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Положению о проведении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>ежегодного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на лучший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официальный сайт органов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государственной власти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>Ханты-Мансийского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1634">
        <w:rPr>
          <w:rFonts w:ascii="Times New Roman" w:hAnsi="Times New Roman"/>
          <w:color w:val="000000"/>
          <w:sz w:val="28"/>
          <w:szCs w:val="28"/>
        </w:rPr>
        <w:t>автономного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 xml:space="preserve"> окр</w:t>
      </w:r>
      <w:r>
        <w:rPr>
          <w:rFonts w:ascii="Times New Roman" w:hAnsi="Times New Roman"/>
          <w:color w:val="000000"/>
          <w:sz w:val="28"/>
          <w:szCs w:val="28"/>
        </w:rPr>
        <w:t>уга – Югры и лучший официальный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>сайт органов местного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самоуправления муниципальных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>образований Ханты-Мансийского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1634">
        <w:rPr>
          <w:rFonts w:ascii="Times New Roman" w:hAnsi="Times New Roman"/>
          <w:color w:val="000000"/>
          <w:sz w:val="28"/>
          <w:szCs w:val="28"/>
        </w:rPr>
        <w:t xml:space="preserve"> автономного округа – Югры</w:t>
      </w:r>
    </w:p>
    <w:p w:rsidR="006602FE" w:rsidRDefault="006602FE" w:rsidP="006602FE">
      <w:pPr>
        <w:shd w:val="clear" w:color="auto" w:fill="FFFFFF"/>
        <w:spacing w:after="0" w:line="312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602FE" w:rsidRDefault="006602FE" w:rsidP="006602F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BB15ED">
        <w:rPr>
          <w:rFonts w:ascii="Times New Roman" w:hAnsi="Times New Roman"/>
          <w:b/>
          <w:sz w:val="28"/>
          <w:szCs w:val="28"/>
        </w:rPr>
        <w:t xml:space="preserve">Критерии оценки официальных сайтов </w:t>
      </w:r>
      <w:r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  <w:r w:rsidRPr="00BB15ED">
        <w:rPr>
          <w:rFonts w:ascii="Times New Roman" w:hAnsi="Times New Roman"/>
          <w:b/>
          <w:sz w:val="28"/>
          <w:szCs w:val="28"/>
        </w:rPr>
        <w:t xml:space="preserve">муниципальных образований Ханты-Мансийского автономного округа </w:t>
      </w:r>
      <w:r>
        <w:rPr>
          <w:rFonts w:ascii="Times New Roman" w:hAnsi="Times New Roman"/>
          <w:b/>
          <w:sz w:val="28"/>
          <w:szCs w:val="28"/>
        </w:rPr>
        <w:t>–</w:t>
      </w:r>
      <w:r w:rsidRPr="00BB15ED">
        <w:rPr>
          <w:rFonts w:ascii="Times New Roman" w:hAnsi="Times New Roman"/>
          <w:b/>
          <w:sz w:val="28"/>
          <w:szCs w:val="28"/>
        </w:rPr>
        <w:t xml:space="preserve"> Югры</w:t>
      </w:r>
    </w:p>
    <w:p w:rsidR="006602FE" w:rsidRPr="00685882" w:rsidRDefault="006602FE" w:rsidP="006602F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1" w:type="dxa"/>
        <w:tblInd w:w="-318" w:type="dxa"/>
        <w:tblLook w:val="04A0"/>
      </w:tblPr>
      <w:tblGrid>
        <w:gridCol w:w="710"/>
        <w:gridCol w:w="8951"/>
      </w:tblGrid>
      <w:tr w:rsidR="00D64DE7" w:rsidRPr="00685882" w:rsidTr="00307DCF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оценки*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почтовый адрес, адрес электронной почты (при наличии), номера телефонов справочных служб 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Полномочия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, с указанием реквизитов нормативного правового акта их определяющих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муниципальных образований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, с указанием реквизитов нормативного правового акта, ее утверждающего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Перечень муниципальных учреждений, сведения об их задачах и функциях, а также почтовые адреса, адреса электронной почты (при наличии), номера телефонов справочных служб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руководителях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муниципальных образований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, структурных подразделений, руководителях муниципальных учреждений, в частности, фамилии, имена, отчества, фотографии, контактная информация, а также биографические сведения, по согласованию с указанными лицами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автономного округа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средствах массовой информации, учрежденных органом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автономного округа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Муниципальные правовые акты, изданные органом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автономного округа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Информация о размещении заказов на поставки товаров, выполнение работ, оказание услуг для муниципальных нужд </w:t>
            </w:r>
          </w:p>
        </w:tc>
      </w:tr>
      <w:tr w:rsidR="00D64DE7" w:rsidRPr="00685882" w:rsidTr="00307DCF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Установленные формы обращений, заявлений и иных документов, принимаемых органом местного самоуправления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автономного округа 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к рассмотрению в соответствии с муниципальными правовыми актами</w:t>
            </w:r>
          </w:p>
        </w:tc>
      </w:tr>
      <w:tr w:rsidR="00D64DE7" w:rsidRPr="00685882" w:rsidTr="00307DCF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Порядок обжалования муниципальных правовых актов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результатах проверок, проведенных органом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, подведомственными организациями в пределах их полномочий, а также о результатах проверок, проведенных в органе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, подведомственных организациях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Тексты официальных выступлений и заявлений руководителей и заместителей руководителей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муниципальных образований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электронные ссылки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них</w:t>
            </w:r>
          </w:p>
        </w:tc>
      </w:tr>
      <w:tr w:rsidR="00D64DE7" w:rsidRPr="00685882" w:rsidTr="00307DC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Статистическая информация о деятельности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муниципальных образований автономного округа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муниципальных образований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, порядок рассмотрения их обращений с указанием актов, регулирующих эту деятельность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 и отчество руководителя структурного подразделен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 или иного должностного лица,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получить информацию справочного характера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Обзоры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</w:tr>
      <w:tr w:rsidR="00D64DE7" w:rsidRPr="00685882" w:rsidTr="00307DCF">
        <w:trPr>
          <w:trHeight w:val="2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Порядок поступления граждан муниципальную службу</w:t>
            </w:r>
          </w:p>
        </w:tc>
      </w:tr>
      <w:tr w:rsidR="00D64DE7" w:rsidRPr="00685882" w:rsidTr="00307DCF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вакантных должностях муниципальной службы, имеющихся в органе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автономного округа</w:t>
            </w:r>
          </w:p>
        </w:tc>
      </w:tr>
      <w:tr w:rsidR="00D64DE7" w:rsidRPr="00685882" w:rsidTr="00307DCF">
        <w:trPr>
          <w:trHeight w:val="6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Квалификационные требования к кандидатам на замещение должностей муницип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альной службы в органе местного самоуправления муниципального образования автономного округа</w:t>
            </w:r>
          </w:p>
        </w:tc>
      </w:tr>
      <w:tr w:rsidR="00D64DE7" w:rsidRPr="00685882" w:rsidTr="00307DCF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Условия и результаты конкурсов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замещение муниципальной службы</w:t>
            </w:r>
            <w:r>
              <w:t xml:space="preserve"> </w:t>
            </w:r>
            <w:r w:rsidRPr="00470E41">
              <w:rPr>
                <w:rFonts w:ascii="Times New Roman" w:hAnsi="Times New Roman"/>
                <w:color w:val="000000"/>
                <w:sz w:val="28"/>
                <w:szCs w:val="28"/>
              </w:rPr>
              <w:t>в органе местного самоуправления муниципального образования автономного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0E4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автономного округа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Нормативные правовые акты, муниципальные правовые акты в сфере противодействия коррупции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Выписки из протоколов заседани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 и членов их семей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замещающих должности муниципальной службы, для которых  нормативными правовыми актами установлена такая обязанность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План работы подразделений по профилактике коррупционных и иных правонарушений кадровых служб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муниципальных образований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(ответственных должностных лиц) на текущий год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График работы подразделений по профилактике коррупционных и иных правонарушений кадровых служб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местного самоуправления муниципальн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 автономного округа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(ответственных должностных лиц), номера телефонов «горячей линии» для сообщения информации о коррупционных правонарушениях, совершенных муниципальными служащими</w:t>
            </w:r>
          </w:p>
        </w:tc>
      </w:tr>
      <w:tr w:rsidR="00D64DE7" w:rsidRPr="00685882" w:rsidTr="00307DCF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новостных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сообще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ний</w:t>
            </w:r>
          </w:p>
        </w:tc>
      </w:tr>
      <w:tr w:rsidR="00D64DE7" w:rsidRPr="00685882" w:rsidTr="00307DCF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графика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телефонного справочника </w:t>
            </w:r>
            <w:r w:rsidRPr="00317E17">
              <w:rPr>
                <w:rFonts w:ascii="Times New Roman" w:hAnsi="Times New Roman"/>
                <w:color w:val="000000"/>
                <w:sz w:val="28"/>
                <w:szCs w:val="28"/>
              </w:rPr>
              <w:t>органа местного самоуправления муниципального образования автономного округа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Интернет-приемная главы </w:t>
            </w:r>
            <w:r w:rsidRPr="00317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органа местного самоуправления муниципального образования автономного округа 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(вопрос-ответ в 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электронном виде)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882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Возможность обсуждения общественно-значимых проблем методом интерактивного голосования</w:t>
            </w:r>
          </w:p>
        </w:tc>
      </w:tr>
      <w:tr w:rsidR="00D64DE7" w:rsidRPr="00685882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685882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раздела «Открытые данные»</w:t>
            </w:r>
          </w:p>
        </w:tc>
      </w:tr>
      <w:tr w:rsidR="00D64DE7" w:rsidRPr="00EE3555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Pr="00EE3555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публикации открытых данных Методическим рекомендациям, утвержденным Правительственной комиссией по координации деятельности открытого правительства</w:t>
            </w:r>
          </w:p>
        </w:tc>
      </w:tr>
      <w:tr w:rsidR="00D64DE7" w:rsidTr="00307DCF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E7" w:rsidRDefault="00D64DE7" w:rsidP="00307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версии для слабовидящих</w:t>
            </w:r>
          </w:p>
        </w:tc>
      </w:tr>
    </w:tbl>
    <w:p w:rsidR="006602FE" w:rsidRPr="00685882" w:rsidRDefault="006602FE" w:rsidP="006602FE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6602FE" w:rsidRPr="00685882" w:rsidRDefault="006602FE" w:rsidP="006602FE">
      <w:pPr>
        <w:shd w:val="clear" w:color="auto" w:fill="FFFFFF"/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  <w:r w:rsidRPr="00685882">
        <w:rPr>
          <w:rFonts w:ascii="Times New Roman" w:hAnsi="Times New Roman"/>
          <w:sz w:val="28"/>
          <w:szCs w:val="28"/>
        </w:rPr>
        <w:t xml:space="preserve">* </w:t>
      </w:r>
      <w:r w:rsidRPr="00685882">
        <w:rPr>
          <w:rFonts w:ascii="Times New Roman" w:hAnsi="Times New Roman"/>
          <w:color w:val="000000"/>
          <w:sz w:val="28"/>
          <w:szCs w:val="28"/>
        </w:rPr>
        <w:t>При оценке критериев 1-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685882">
        <w:rPr>
          <w:rFonts w:ascii="Times New Roman" w:hAnsi="Times New Roman"/>
          <w:color w:val="000000"/>
          <w:sz w:val="28"/>
          <w:szCs w:val="28"/>
        </w:rPr>
        <w:t xml:space="preserve"> выставляются баллы:</w:t>
      </w:r>
    </w:p>
    <w:p w:rsidR="006602FE" w:rsidRPr="00685882" w:rsidRDefault="006602FE" w:rsidP="006602FE">
      <w:pPr>
        <w:shd w:val="clear" w:color="auto" w:fill="FFFFFF"/>
        <w:spacing w:after="0" w:line="312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85882">
        <w:rPr>
          <w:rFonts w:ascii="Times New Roman" w:hAnsi="Times New Roman"/>
          <w:color w:val="000000"/>
          <w:sz w:val="28"/>
          <w:szCs w:val="28"/>
        </w:rPr>
        <w:t>0</w:t>
      </w:r>
      <w:r w:rsidRPr="006F5FA1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информация отсутствует</w:t>
      </w:r>
    </w:p>
    <w:p w:rsidR="006602FE" w:rsidRDefault="006602FE" w:rsidP="006602FE">
      <w:pPr>
        <w:shd w:val="clear" w:color="auto" w:fill="FFFFFF"/>
        <w:spacing w:after="0" w:line="312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85882">
        <w:rPr>
          <w:rFonts w:ascii="Times New Roman" w:hAnsi="Times New Roman"/>
          <w:color w:val="000000"/>
          <w:sz w:val="28"/>
          <w:szCs w:val="28"/>
        </w:rPr>
        <w:t>1</w:t>
      </w:r>
      <w:r w:rsidRPr="006F5FA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685882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размещена </w:t>
      </w:r>
      <w:r w:rsidRPr="00685882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685882">
        <w:rPr>
          <w:rFonts w:ascii="Times New Roman" w:hAnsi="Times New Roman"/>
          <w:color w:val="000000"/>
          <w:sz w:val="28"/>
          <w:szCs w:val="28"/>
        </w:rPr>
        <w:t>полн</w:t>
      </w:r>
      <w:r>
        <w:rPr>
          <w:rFonts w:ascii="Times New Roman" w:hAnsi="Times New Roman"/>
          <w:color w:val="000000"/>
          <w:sz w:val="28"/>
          <w:szCs w:val="28"/>
        </w:rPr>
        <w:t>ом объеме</w:t>
      </w:r>
    </w:p>
    <w:p w:rsidR="006602FE" w:rsidRDefault="006602FE" w:rsidP="006602FE">
      <w:pPr>
        <w:shd w:val="clear" w:color="auto" w:fill="FFFFFF"/>
        <w:spacing w:after="0" w:line="312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85882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85882">
        <w:rPr>
          <w:rFonts w:ascii="Times New Roman" w:hAnsi="Times New Roman"/>
          <w:color w:val="000000"/>
          <w:sz w:val="28"/>
          <w:szCs w:val="28"/>
        </w:rPr>
        <w:t xml:space="preserve"> информация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размещена в</w:t>
      </w:r>
      <w:r w:rsidRPr="00685882">
        <w:rPr>
          <w:rFonts w:ascii="Times New Roman" w:hAnsi="Times New Roman"/>
          <w:color w:val="000000"/>
          <w:sz w:val="28"/>
          <w:szCs w:val="28"/>
        </w:rPr>
        <w:t xml:space="preserve"> полн</w:t>
      </w:r>
      <w:r>
        <w:rPr>
          <w:rFonts w:ascii="Times New Roman" w:hAnsi="Times New Roman"/>
          <w:color w:val="000000"/>
          <w:sz w:val="28"/>
          <w:szCs w:val="28"/>
        </w:rPr>
        <w:t xml:space="preserve">ом объеме </w:t>
      </w:r>
    </w:p>
    <w:p w:rsidR="006602FE" w:rsidRPr="00685882" w:rsidRDefault="006602FE" w:rsidP="006602FE">
      <w:pPr>
        <w:shd w:val="clear" w:color="auto" w:fill="FFFFFF"/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При оценке критериев 30-</w:t>
      </w:r>
      <w:r w:rsidR="00D64DE7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5882">
        <w:rPr>
          <w:rFonts w:ascii="Times New Roman" w:hAnsi="Times New Roman"/>
          <w:color w:val="000000"/>
          <w:sz w:val="28"/>
          <w:szCs w:val="28"/>
        </w:rPr>
        <w:t>выставляются баллы:</w:t>
      </w:r>
    </w:p>
    <w:p w:rsidR="006602FE" w:rsidRPr="00685882" w:rsidRDefault="006602FE" w:rsidP="006602FE">
      <w:pPr>
        <w:shd w:val="clear" w:color="auto" w:fill="FFFFFF"/>
        <w:spacing w:after="0" w:line="312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685882">
        <w:rPr>
          <w:rFonts w:ascii="Times New Roman" w:hAnsi="Times New Roman"/>
          <w:color w:val="000000"/>
          <w:sz w:val="28"/>
          <w:szCs w:val="28"/>
        </w:rPr>
        <w:t>0</w:t>
      </w:r>
      <w:r w:rsidRPr="006F5FA1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нет</w:t>
      </w:r>
    </w:p>
    <w:p w:rsidR="00C20BFA" w:rsidRPr="006602FE" w:rsidRDefault="006602FE" w:rsidP="006602FE">
      <w:pPr>
        <w:shd w:val="clear" w:color="auto" w:fill="FFFFFF"/>
        <w:spacing w:after="0" w:line="312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685882">
        <w:rPr>
          <w:rFonts w:ascii="Times New Roman" w:hAnsi="Times New Roman"/>
          <w:color w:val="000000"/>
          <w:sz w:val="28"/>
          <w:szCs w:val="28"/>
        </w:rPr>
        <w:t>1</w:t>
      </w:r>
      <w:r w:rsidRPr="006F5FA1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да</w:t>
      </w:r>
    </w:p>
    <w:sectPr w:rsidR="00C20BFA" w:rsidRPr="006602FE" w:rsidSect="00336325">
      <w:headerReference w:type="default" r:id="rId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8F" w:rsidRDefault="0061238F" w:rsidP="00BF75AA">
      <w:pPr>
        <w:spacing w:after="0" w:line="240" w:lineRule="auto"/>
      </w:pPr>
      <w:r>
        <w:separator/>
      </w:r>
    </w:p>
  </w:endnote>
  <w:endnote w:type="continuationSeparator" w:id="1">
    <w:p w:rsidR="0061238F" w:rsidRDefault="0061238F" w:rsidP="00B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8F" w:rsidRDefault="0061238F" w:rsidP="00BF75AA">
      <w:pPr>
        <w:spacing w:after="0" w:line="240" w:lineRule="auto"/>
      </w:pPr>
      <w:r>
        <w:separator/>
      </w:r>
    </w:p>
  </w:footnote>
  <w:footnote w:type="continuationSeparator" w:id="1">
    <w:p w:rsidR="0061238F" w:rsidRDefault="0061238F" w:rsidP="00B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795" w:rsidRDefault="001B1795">
    <w:pPr>
      <w:pStyle w:val="a9"/>
      <w:jc w:val="center"/>
    </w:pPr>
    <w:fldSimple w:instr=" PAGE   \* MERGEFORMAT ">
      <w:r w:rsidR="00A70214">
        <w:rPr>
          <w:noProof/>
        </w:rPr>
        <w:t>2</w:t>
      </w:r>
    </w:fldSimple>
  </w:p>
  <w:p w:rsidR="001B1795" w:rsidRDefault="001B17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875"/>
    <w:multiLevelType w:val="multilevel"/>
    <w:tmpl w:val="792A9C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35425D0E"/>
    <w:multiLevelType w:val="hybridMultilevel"/>
    <w:tmpl w:val="3346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55788"/>
    <w:multiLevelType w:val="hybridMultilevel"/>
    <w:tmpl w:val="19B2331E"/>
    <w:lvl w:ilvl="0" w:tplc="1D465B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43FED"/>
    <w:multiLevelType w:val="hybridMultilevel"/>
    <w:tmpl w:val="8CFC4034"/>
    <w:lvl w:ilvl="0" w:tplc="6900C3F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2A"/>
    <w:rsid w:val="00002000"/>
    <w:rsid w:val="0001027A"/>
    <w:rsid w:val="000108B6"/>
    <w:rsid w:val="0002183B"/>
    <w:rsid w:val="000306EB"/>
    <w:rsid w:val="0004155D"/>
    <w:rsid w:val="000430F0"/>
    <w:rsid w:val="000444FE"/>
    <w:rsid w:val="0005055F"/>
    <w:rsid w:val="00060049"/>
    <w:rsid w:val="000620EF"/>
    <w:rsid w:val="00084E36"/>
    <w:rsid w:val="00091D60"/>
    <w:rsid w:val="00092BD8"/>
    <w:rsid w:val="000A209D"/>
    <w:rsid w:val="000A5AAD"/>
    <w:rsid w:val="000D09FE"/>
    <w:rsid w:val="000E55E2"/>
    <w:rsid w:val="000F0D0C"/>
    <w:rsid w:val="000F17F3"/>
    <w:rsid w:val="000F39E6"/>
    <w:rsid w:val="000F47F5"/>
    <w:rsid w:val="00102103"/>
    <w:rsid w:val="0011267C"/>
    <w:rsid w:val="00117D05"/>
    <w:rsid w:val="00122869"/>
    <w:rsid w:val="00123F64"/>
    <w:rsid w:val="00126BEE"/>
    <w:rsid w:val="00143425"/>
    <w:rsid w:val="00162862"/>
    <w:rsid w:val="00163456"/>
    <w:rsid w:val="00164B71"/>
    <w:rsid w:val="001812ED"/>
    <w:rsid w:val="001847B1"/>
    <w:rsid w:val="001862A4"/>
    <w:rsid w:val="00192B9D"/>
    <w:rsid w:val="001970CB"/>
    <w:rsid w:val="001B0879"/>
    <w:rsid w:val="001B13D0"/>
    <w:rsid w:val="001B1795"/>
    <w:rsid w:val="001C2A1F"/>
    <w:rsid w:val="001C61C6"/>
    <w:rsid w:val="001C65E3"/>
    <w:rsid w:val="001C7B19"/>
    <w:rsid w:val="001D2515"/>
    <w:rsid w:val="001D371C"/>
    <w:rsid w:val="001D7955"/>
    <w:rsid w:val="001E65CB"/>
    <w:rsid w:val="001E6CE0"/>
    <w:rsid w:val="001F178A"/>
    <w:rsid w:val="00204408"/>
    <w:rsid w:val="00213BA5"/>
    <w:rsid w:val="00217850"/>
    <w:rsid w:val="00227DBF"/>
    <w:rsid w:val="002405A9"/>
    <w:rsid w:val="0024118C"/>
    <w:rsid w:val="0024189B"/>
    <w:rsid w:val="00245435"/>
    <w:rsid w:val="0024622E"/>
    <w:rsid w:val="00254093"/>
    <w:rsid w:val="002919BE"/>
    <w:rsid w:val="00292064"/>
    <w:rsid w:val="00297009"/>
    <w:rsid w:val="002A3233"/>
    <w:rsid w:val="002A44F9"/>
    <w:rsid w:val="002A4CF0"/>
    <w:rsid w:val="002B369E"/>
    <w:rsid w:val="002B45A8"/>
    <w:rsid w:val="002B51B9"/>
    <w:rsid w:val="002B5D5F"/>
    <w:rsid w:val="002C1C98"/>
    <w:rsid w:val="002C31FE"/>
    <w:rsid w:val="002C507E"/>
    <w:rsid w:val="002D6CA5"/>
    <w:rsid w:val="002E0B83"/>
    <w:rsid w:val="002E47EA"/>
    <w:rsid w:val="002E5AC8"/>
    <w:rsid w:val="002F616D"/>
    <w:rsid w:val="00300557"/>
    <w:rsid w:val="00301DF7"/>
    <w:rsid w:val="00307DCF"/>
    <w:rsid w:val="00314BEA"/>
    <w:rsid w:val="00322197"/>
    <w:rsid w:val="00326999"/>
    <w:rsid w:val="00336325"/>
    <w:rsid w:val="00341041"/>
    <w:rsid w:val="00342024"/>
    <w:rsid w:val="003424CC"/>
    <w:rsid w:val="003437A6"/>
    <w:rsid w:val="00345E4E"/>
    <w:rsid w:val="00355712"/>
    <w:rsid w:val="00361B8D"/>
    <w:rsid w:val="00363B53"/>
    <w:rsid w:val="003708FD"/>
    <w:rsid w:val="00375476"/>
    <w:rsid w:val="00376EEB"/>
    <w:rsid w:val="00382839"/>
    <w:rsid w:val="003949C3"/>
    <w:rsid w:val="003A5906"/>
    <w:rsid w:val="003A5BC1"/>
    <w:rsid w:val="003A6BB7"/>
    <w:rsid w:val="003B1151"/>
    <w:rsid w:val="003B1350"/>
    <w:rsid w:val="003B30FE"/>
    <w:rsid w:val="003B7A53"/>
    <w:rsid w:val="003C0FEA"/>
    <w:rsid w:val="003D6D2B"/>
    <w:rsid w:val="003F3E72"/>
    <w:rsid w:val="003F4E28"/>
    <w:rsid w:val="004019C5"/>
    <w:rsid w:val="0042032B"/>
    <w:rsid w:val="0042336F"/>
    <w:rsid w:val="00423FE8"/>
    <w:rsid w:val="004345C0"/>
    <w:rsid w:val="00435A27"/>
    <w:rsid w:val="00435C35"/>
    <w:rsid w:val="00445B22"/>
    <w:rsid w:val="00460ADD"/>
    <w:rsid w:val="0046538E"/>
    <w:rsid w:val="0047054A"/>
    <w:rsid w:val="004830D8"/>
    <w:rsid w:val="0048641B"/>
    <w:rsid w:val="00492349"/>
    <w:rsid w:val="00496D5B"/>
    <w:rsid w:val="004D70DC"/>
    <w:rsid w:val="004E0620"/>
    <w:rsid w:val="004E7EFE"/>
    <w:rsid w:val="004F2EB9"/>
    <w:rsid w:val="00502756"/>
    <w:rsid w:val="00505499"/>
    <w:rsid w:val="00512CE7"/>
    <w:rsid w:val="00516FD6"/>
    <w:rsid w:val="00534DC0"/>
    <w:rsid w:val="00545452"/>
    <w:rsid w:val="005468F1"/>
    <w:rsid w:val="00547680"/>
    <w:rsid w:val="00581838"/>
    <w:rsid w:val="005826AD"/>
    <w:rsid w:val="005C065B"/>
    <w:rsid w:val="005D00EF"/>
    <w:rsid w:val="005D049B"/>
    <w:rsid w:val="005D6859"/>
    <w:rsid w:val="005F5B1A"/>
    <w:rsid w:val="005F5DEF"/>
    <w:rsid w:val="00605BAC"/>
    <w:rsid w:val="00611856"/>
    <w:rsid w:val="0061238F"/>
    <w:rsid w:val="00625009"/>
    <w:rsid w:val="006271A1"/>
    <w:rsid w:val="006428B1"/>
    <w:rsid w:val="0064607F"/>
    <w:rsid w:val="00647235"/>
    <w:rsid w:val="00652AAE"/>
    <w:rsid w:val="006553D5"/>
    <w:rsid w:val="0065690F"/>
    <w:rsid w:val="00657E62"/>
    <w:rsid w:val="006602FE"/>
    <w:rsid w:val="006618B4"/>
    <w:rsid w:val="0066631B"/>
    <w:rsid w:val="00666630"/>
    <w:rsid w:val="006721E3"/>
    <w:rsid w:val="00687CA6"/>
    <w:rsid w:val="00693AA5"/>
    <w:rsid w:val="006A4456"/>
    <w:rsid w:val="006B10D4"/>
    <w:rsid w:val="006B6F69"/>
    <w:rsid w:val="006B7824"/>
    <w:rsid w:val="006C5505"/>
    <w:rsid w:val="006C6CEA"/>
    <w:rsid w:val="006D3175"/>
    <w:rsid w:val="006E3E39"/>
    <w:rsid w:val="006E58EA"/>
    <w:rsid w:val="006F7BB9"/>
    <w:rsid w:val="00706F5B"/>
    <w:rsid w:val="00715888"/>
    <w:rsid w:val="00724920"/>
    <w:rsid w:val="00725017"/>
    <w:rsid w:val="00727036"/>
    <w:rsid w:val="0073239C"/>
    <w:rsid w:val="00735703"/>
    <w:rsid w:val="00743CC5"/>
    <w:rsid w:val="007443B3"/>
    <w:rsid w:val="00770C0F"/>
    <w:rsid w:val="00771E46"/>
    <w:rsid w:val="00776A35"/>
    <w:rsid w:val="00792206"/>
    <w:rsid w:val="007A02E2"/>
    <w:rsid w:val="007B3F0D"/>
    <w:rsid w:val="007B766E"/>
    <w:rsid w:val="007C0FAA"/>
    <w:rsid w:val="007C6EFA"/>
    <w:rsid w:val="007D003B"/>
    <w:rsid w:val="007D37C5"/>
    <w:rsid w:val="007E5879"/>
    <w:rsid w:val="007E6557"/>
    <w:rsid w:val="007F2CAE"/>
    <w:rsid w:val="007F7006"/>
    <w:rsid w:val="0080028C"/>
    <w:rsid w:val="008033E9"/>
    <w:rsid w:val="0080766F"/>
    <w:rsid w:val="008114AD"/>
    <w:rsid w:val="00821A44"/>
    <w:rsid w:val="00823CF3"/>
    <w:rsid w:val="00841CFE"/>
    <w:rsid w:val="008745A3"/>
    <w:rsid w:val="00877F75"/>
    <w:rsid w:val="00880C30"/>
    <w:rsid w:val="00880CCA"/>
    <w:rsid w:val="00883A1F"/>
    <w:rsid w:val="00891D99"/>
    <w:rsid w:val="008933CC"/>
    <w:rsid w:val="008C34A0"/>
    <w:rsid w:val="008D3496"/>
    <w:rsid w:val="008F3773"/>
    <w:rsid w:val="008F7562"/>
    <w:rsid w:val="00907111"/>
    <w:rsid w:val="00911CC7"/>
    <w:rsid w:val="009137C0"/>
    <w:rsid w:val="00921936"/>
    <w:rsid w:val="00925FCA"/>
    <w:rsid w:val="0092653C"/>
    <w:rsid w:val="0092674A"/>
    <w:rsid w:val="009324F5"/>
    <w:rsid w:val="00934E3B"/>
    <w:rsid w:val="00936471"/>
    <w:rsid w:val="00937549"/>
    <w:rsid w:val="0094233A"/>
    <w:rsid w:val="00944474"/>
    <w:rsid w:val="009524ED"/>
    <w:rsid w:val="00955B85"/>
    <w:rsid w:val="009636DC"/>
    <w:rsid w:val="00980843"/>
    <w:rsid w:val="009814F6"/>
    <w:rsid w:val="0098397A"/>
    <w:rsid w:val="00991363"/>
    <w:rsid w:val="0099560E"/>
    <w:rsid w:val="009B109D"/>
    <w:rsid w:val="009C117D"/>
    <w:rsid w:val="009C12A1"/>
    <w:rsid w:val="009C1570"/>
    <w:rsid w:val="009D6EE5"/>
    <w:rsid w:val="009E01EE"/>
    <w:rsid w:val="009E2589"/>
    <w:rsid w:val="009E373B"/>
    <w:rsid w:val="009E7C2A"/>
    <w:rsid w:val="009F3F41"/>
    <w:rsid w:val="009F525E"/>
    <w:rsid w:val="00A02658"/>
    <w:rsid w:val="00A06591"/>
    <w:rsid w:val="00A07CB1"/>
    <w:rsid w:val="00A10CB6"/>
    <w:rsid w:val="00A10FE0"/>
    <w:rsid w:val="00A2232A"/>
    <w:rsid w:val="00A23F58"/>
    <w:rsid w:val="00A31EE5"/>
    <w:rsid w:val="00A51334"/>
    <w:rsid w:val="00A52EA4"/>
    <w:rsid w:val="00A55A4A"/>
    <w:rsid w:val="00A56BFA"/>
    <w:rsid w:val="00A64849"/>
    <w:rsid w:val="00A70214"/>
    <w:rsid w:val="00A714B4"/>
    <w:rsid w:val="00A76A08"/>
    <w:rsid w:val="00A77421"/>
    <w:rsid w:val="00A82797"/>
    <w:rsid w:val="00A84719"/>
    <w:rsid w:val="00A97BA3"/>
    <w:rsid w:val="00AA1582"/>
    <w:rsid w:val="00AB15EE"/>
    <w:rsid w:val="00AB7F5F"/>
    <w:rsid w:val="00AC13DB"/>
    <w:rsid w:val="00AD3EAD"/>
    <w:rsid w:val="00AD5324"/>
    <w:rsid w:val="00AE2136"/>
    <w:rsid w:val="00AF41BC"/>
    <w:rsid w:val="00B00685"/>
    <w:rsid w:val="00B046A0"/>
    <w:rsid w:val="00B10242"/>
    <w:rsid w:val="00B10B4A"/>
    <w:rsid w:val="00B163E2"/>
    <w:rsid w:val="00B31A07"/>
    <w:rsid w:val="00B33C17"/>
    <w:rsid w:val="00B35575"/>
    <w:rsid w:val="00B40347"/>
    <w:rsid w:val="00B432D7"/>
    <w:rsid w:val="00B50C09"/>
    <w:rsid w:val="00B627EC"/>
    <w:rsid w:val="00B63027"/>
    <w:rsid w:val="00B65297"/>
    <w:rsid w:val="00B71250"/>
    <w:rsid w:val="00B9478B"/>
    <w:rsid w:val="00BB1F7F"/>
    <w:rsid w:val="00BC1B0D"/>
    <w:rsid w:val="00BC60BC"/>
    <w:rsid w:val="00BD2E28"/>
    <w:rsid w:val="00BD5ADB"/>
    <w:rsid w:val="00BD6BF7"/>
    <w:rsid w:val="00BF1495"/>
    <w:rsid w:val="00BF1B46"/>
    <w:rsid w:val="00BF2BD0"/>
    <w:rsid w:val="00BF75AA"/>
    <w:rsid w:val="00C0017A"/>
    <w:rsid w:val="00C06BD1"/>
    <w:rsid w:val="00C076BB"/>
    <w:rsid w:val="00C12704"/>
    <w:rsid w:val="00C20BFA"/>
    <w:rsid w:val="00C32772"/>
    <w:rsid w:val="00C34F6D"/>
    <w:rsid w:val="00C3549C"/>
    <w:rsid w:val="00C37311"/>
    <w:rsid w:val="00C44ADC"/>
    <w:rsid w:val="00C66E67"/>
    <w:rsid w:val="00C67259"/>
    <w:rsid w:val="00C80F66"/>
    <w:rsid w:val="00C87B7E"/>
    <w:rsid w:val="00C92A7C"/>
    <w:rsid w:val="00C94C97"/>
    <w:rsid w:val="00C966BE"/>
    <w:rsid w:val="00C9678E"/>
    <w:rsid w:val="00CB65E2"/>
    <w:rsid w:val="00CD1A17"/>
    <w:rsid w:val="00CD7A94"/>
    <w:rsid w:val="00CF12F9"/>
    <w:rsid w:val="00CF33F1"/>
    <w:rsid w:val="00CF3FD7"/>
    <w:rsid w:val="00CF74DD"/>
    <w:rsid w:val="00D101BB"/>
    <w:rsid w:val="00D14756"/>
    <w:rsid w:val="00D17206"/>
    <w:rsid w:val="00D225F2"/>
    <w:rsid w:val="00D25AE3"/>
    <w:rsid w:val="00D25C00"/>
    <w:rsid w:val="00D2622B"/>
    <w:rsid w:val="00D52B02"/>
    <w:rsid w:val="00D6052F"/>
    <w:rsid w:val="00D61C5A"/>
    <w:rsid w:val="00D61FA2"/>
    <w:rsid w:val="00D6291F"/>
    <w:rsid w:val="00D63C2C"/>
    <w:rsid w:val="00D6465E"/>
    <w:rsid w:val="00D64DE7"/>
    <w:rsid w:val="00D66077"/>
    <w:rsid w:val="00D81FB1"/>
    <w:rsid w:val="00D86444"/>
    <w:rsid w:val="00D94E38"/>
    <w:rsid w:val="00D96994"/>
    <w:rsid w:val="00D97F4F"/>
    <w:rsid w:val="00DB3773"/>
    <w:rsid w:val="00DB52BD"/>
    <w:rsid w:val="00E07143"/>
    <w:rsid w:val="00E116DF"/>
    <w:rsid w:val="00E17916"/>
    <w:rsid w:val="00E23FC2"/>
    <w:rsid w:val="00E2774F"/>
    <w:rsid w:val="00E415B4"/>
    <w:rsid w:val="00E44F0D"/>
    <w:rsid w:val="00E46F76"/>
    <w:rsid w:val="00E50F59"/>
    <w:rsid w:val="00E61964"/>
    <w:rsid w:val="00E7502D"/>
    <w:rsid w:val="00E7734B"/>
    <w:rsid w:val="00E833C1"/>
    <w:rsid w:val="00EA1BED"/>
    <w:rsid w:val="00EA308E"/>
    <w:rsid w:val="00EA4926"/>
    <w:rsid w:val="00EC1775"/>
    <w:rsid w:val="00EC6837"/>
    <w:rsid w:val="00EC7019"/>
    <w:rsid w:val="00ED0605"/>
    <w:rsid w:val="00EE222F"/>
    <w:rsid w:val="00EF1A2E"/>
    <w:rsid w:val="00EF733D"/>
    <w:rsid w:val="00F02E3A"/>
    <w:rsid w:val="00F03E2A"/>
    <w:rsid w:val="00F12FE9"/>
    <w:rsid w:val="00F21FEF"/>
    <w:rsid w:val="00F25054"/>
    <w:rsid w:val="00F25EBD"/>
    <w:rsid w:val="00F34F86"/>
    <w:rsid w:val="00F3544A"/>
    <w:rsid w:val="00F36EB8"/>
    <w:rsid w:val="00F406E9"/>
    <w:rsid w:val="00F45B66"/>
    <w:rsid w:val="00F53658"/>
    <w:rsid w:val="00F6184F"/>
    <w:rsid w:val="00F64334"/>
    <w:rsid w:val="00F66EBF"/>
    <w:rsid w:val="00F866B3"/>
    <w:rsid w:val="00F92544"/>
    <w:rsid w:val="00F9762A"/>
    <w:rsid w:val="00FB2F48"/>
    <w:rsid w:val="00FD7B32"/>
    <w:rsid w:val="00FE2392"/>
    <w:rsid w:val="00FE25C1"/>
    <w:rsid w:val="00FE5DB2"/>
    <w:rsid w:val="00FF0463"/>
    <w:rsid w:val="00FF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4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F03E2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F03E2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F03E2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a4">
    <w:name w:val="Название Знак"/>
    <w:link w:val="a3"/>
    <w:rsid w:val="00F03E2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F03E2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F03E2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F03E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7F5F"/>
    <w:pPr>
      <w:ind w:left="720"/>
      <w:contextualSpacing/>
    </w:pPr>
  </w:style>
  <w:style w:type="paragraph" w:styleId="a8">
    <w:name w:val="No Spacing"/>
    <w:uiPriority w:val="1"/>
    <w:qFormat/>
    <w:rsid w:val="00F25EBD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BF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75AA"/>
  </w:style>
  <w:style w:type="paragraph" w:styleId="ab">
    <w:name w:val="footer"/>
    <w:basedOn w:val="a"/>
    <w:link w:val="ac"/>
    <w:uiPriority w:val="99"/>
    <w:semiHidden/>
    <w:unhideWhenUsed/>
    <w:rsid w:val="00BF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75AA"/>
  </w:style>
  <w:style w:type="table" w:styleId="ad">
    <w:name w:val="Table Grid"/>
    <w:basedOn w:val="a1"/>
    <w:uiPriority w:val="59"/>
    <w:rsid w:val="00E0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45B22"/>
    <w:pPr>
      <w:widowControl w:val="0"/>
    </w:pPr>
    <w:rPr>
      <w:rFonts w:ascii="Times New Roman" w:hAnsi="Times New Roman"/>
    </w:rPr>
  </w:style>
  <w:style w:type="character" w:styleId="ae">
    <w:name w:val="Hyperlink"/>
    <w:uiPriority w:val="99"/>
    <w:semiHidden/>
    <w:unhideWhenUsed/>
    <w:rsid w:val="00D61FA2"/>
    <w:rPr>
      <w:color w:val="0000FF"/>
      <w:u w:val="single"/>
    </w:rPr>
  </w:style>
  <w:style w:type="character" w:customStyle="1" w:styleId="pre">
    <w:name w:val="pre"/>
    <w:basedOn w:val="a0"/>
    <w:rsid w:val="00326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MorozovaLN</dc:creator>
  <cp:lastModifiedBy>Наталья Рябова</cp:lastModifiedBy>
  <cp:revision>2</cp:revision>
  <cp:lastPrinted>2013-10-30T08:49:00Z</cp:lastPrinted>
  <dcterms:created xsi:type="dcterms:W3CDTF">2014-11-13T09:28:00Z</dcterms:created>
  <dcterms:modified xsi:type="dcterms:W3CDTF">2014-11-13T09:28:00Z</dcterms:modified>
</cp:coreProperties>
</file>