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К–</w:t>
      </w:r>
      <w:r>
        <w:rPr>
          <w:rFonts w:ascii="Times New Roman" w:hAnsi="Times New Roman" w:cs="Times New Roman"/>
          <w:sz w:val="28"/>
          <w:szCs w:val="28"/>
        </w:rPr>
        <w:t xml:space="preserve">587/17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</w:p>
    <w:p w:rsidR="00000000" w:rsidRDefault="000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импортозамещени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РГАСПИ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0173100011417000024)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3.31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727/14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16.11.2015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1236).  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>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протоколами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www.zakupki.gov.ru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27.04.2017;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13 800 000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19.05.20</w:t>
      </w:r>
      <w:r>
        <w:rPr>
          <w:rFonts w:ascii="Times New Roman" w:hAnsi="Times New Roman" w:cs="Times New Roman"/>
          <w:sz w:val="28"/>
          <w:szCs w:val="28"/>
        </w:rPr>
        <w:t>17;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23.05.2017.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оказываемы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допускающие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заказчики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49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1236,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эксплуатационные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ляющееся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«Общесистемное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РГАСПИ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платформе</w:t>
      </w:r>
      <w:r>
        <w:rPr>
          <w:rFonts w:ascii="Times New Roman" w:hAnsi="Times New Roman" w:cs="Times New Roman"/>
          <w:sz w:val="28"/>
          <w:szCs w:val="28"/>
        </w:rPr>
        <w:t xml:space="preserve"> Microsoft Windows.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Intel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1236.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нарушают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1.4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7.30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влекущие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 xml:space="preserve">, 57, 59, 72, 83, 84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93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21.03.16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471-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«Обоснование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вычисли</w:t>
      </w:r>
      <w:r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4 604 200,00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4 091 900,00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3 581 100,00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4 092 400,00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401 950,00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452 600,00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352 050,00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402 200,00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5 747 300,00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6 130 300,00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6 513 6</w:t>
      </w:r>
      <w:r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6 130 400,00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3 207 500,00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2 850 750,00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2 494 750,00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2 851 000,00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364 800,00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323 400,00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283 800,00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324 000,00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ab/>
        <w:t>14 325 750,00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13 848 950,00</w:t>
      </w:r>
      <w:r>
        <w:rPr>
          <w:rFonts w:ascii="Times New Roman" w:hAnsi="Times New Roman" w:cs="Times New Roman"/>
          <w:sz w:val="28"/>
          <w:szCs w:val="28"/>
        </w:rPr>
        <w:tab/>
        <w:t>13 225 300,00</w:t>
      </w:r>
      <w:r>
        <w:rPr>
          <w:rFonts w:ascii="Times New Roman" w:hAnsi="Times New Roman" w:cs="Times New Roman"/>
          <w:sz w:val="28"/>
          <w:szCs w:val="28"/>
        </w:rPr>
        <w:tab/>
        <w:t>13 800 000,00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50 %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вышеизложенное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нарушают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7.29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комплектности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4.2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7.30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2,           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15,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99,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106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000000" w:rsidRDefault="00012575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импортозамещению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14,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24,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18.05.2017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К–</w:t>
      </w:r>
      <w:r>
        <w:rPr>
          <w:rFonts w:ascii="Times New Roman" w:hAnsi="Times New Roman" w:cs="Times New Roman"/>
          <w:sz w:val="28"/>
          <w:szCs w:val="28"/>
        </w:rPr>
        <w:t xml:space="preserve">587/17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арбитражном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575" w:rsidRDefault="0001257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sectPr w:rsidR="00012575">
      <w:headerReference w:type="default" r:id="rId6"/>
      <w:pgSz w:w="11907" w:h="1638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75" w:rsidRDefault="00012575">
      <w:pPr>
        <w:spacing w:after="0"/>
      </w:pPr>
      <w:r>
        <w:separator/>
      </w:r>
    </w:p>
  </w:endnote>
  <w:endnote w:type="continuationSeparator" w:id="0">
    <w:p w:rsidR="00012575" w:rsidRDefault="00012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75" w:rsidRDefault="00012575">
      <w:pPr>
        <w:spacing w:after="0"/>
      </w:pPr>
      <w:r>
        <w:separator/>
      </w:r>
    </w:p>
  </w:footnote>
  <w:footnote w:type="continuationSeparator" w:id="0">
    <w:p w:rsidR="00012575" w:rsidRDefault="00012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12575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F1C">
      <w:rPr>
        <w:noProof/>
      </w:rPr>
      <w:t>7</w:t>
    </w:r>
    <w:r>
      <w:fldChar w:fldCharType="end"/>
    </w:r>
  </w:p>
  <w:p w:rsidR="00000000" w:rsidRDefault="00012575">
    <w:pPr>
      <w:pStyle w:val="a3"/>
      <w:tabs>
        <w:tab w:val="center" w:pos="4677"/>
        <w:tab w:val="right" w:pos="9355"/>
      </w:tabs>
      <w:spacing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1C"/>
    <w:rsid w:val="00012575"/>
    <w:rsid w:val="005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96F62-8F29-460C-9FDE-F0E6215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 w:cs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 w:cs="Times New Roman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 w:cs="Times New Roman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Рябова</dc:creator>
  <cp:keywords/>
  <dc:description/>
  <cp:lastModifiedBy>Наталья Рябова</cp:lastModifiedBy>
  <cp:revision>2</cp:revision>
  <dcterms:created xsi:type="dcterms:W3CDTF">2017-05-30T10:29:00Z</dcterms:created>
  <dcterms:modified xsi:type="dcterms:W3CDTF">2017-05-30T10:29:00Z</dcterms:modified>
</cp:coreProperties>
</file>