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E5" w:rsidRDefault="009C1DE5" w:rsidP="001634B0">
      <w:pPr>
        <w:tabs>
          <w:tab w:val="left" w:pos="5832"/>
        </w:tabs>
        <w:ind w:firstLine="0"/>
        <w:rPr>
          <w:color w:val="000000" w:themeColor="text1"/>
        </w:rPr>
      </w:pPr>
    </w:p>
    <w:p w:rsidR="009C1DE5" w:rsidRPr="00927E1D" w:rsidRDefault="009C1DE5" w:rsidP="009C1DE5">
      <w:pPr>
        <w:tabs>
          <w:tab w:val="left" w:pos="5832"/>
        </w:tabs>
        <w:ind w:left="5040" w:firstLine="0"/>
        <w:rPr>
          <w:color w:val="000000" w:themeColor="text1"/>
        </w:rPr>
      </w:pPr>
    </w:p>
    <w:p w:rsidR="00311379" w:rsidRPr="00927E1D" w:rsidRDefault="00311379">
      <w:pPr>
        <w:ind w:firstLine="0"/>
        <w:jc w:val="center"/>
        <w:rPr>
          <w:color w:val="000000" w:themeColor="text1"/>
        </w:rPr>
      </w:pPr>
      <w:r w:rsidRPr="00927E1D">
        <w:rPr>
          <w:color w:val="000000" w:themeColor="text1"/>
        </w:rPr>
        <w:t>РЕШЕНИЕ</w:t>
      </w:r>
    </w:p>
    <w:p w:rsidR="00311379" w:rsidRPr="00927E1D" w:rsidRDefault="00311379">
      <w:pPr>
        <w:ind w:firstLine="0"/>
        <w:jc w:val="center"/>
        <w:rPr>
          <w:color w:val="000000" w:themeColor="text1"/>
        </w:rPr>
      </w:pPr>
      <w:r w:rsidRPr="00927E1D">
        <w:rPr>
          <w:color w:val="000000" w:themeColor="text1"/>
        </w:rPr>
        <w:t xml:space="preserve">по делу № П-154/16 о результатах внеплановой проверки </w:t>
      </w:r>
    </w:p>
    <w:p w:rsidR="00311379" w:rsidRPr="00927E1D" w:rsidRDefault="00311379">
      <w:pPr>
        <w:ind w:right="124" w:firstLine="0"/>
        <w:jc w:val="center"/>
        <w:rPr>
          <w:color w:val="000000" w:themeColor="text1"/>
        </w:rPr>
      </w:pPr>
      <w:r w:rsidRPr="00927E1D">
        <w:rPr>
          <w:color w:val="000000" w:themeColor="text1"/>
        </w:rPr>
        <w:t xml:space="preserve">соблюдения законодательства Российской Федерации </w:t>
      </w:r>
    </w:p>
    <w:p w:rsidR="00311379" w:rsidRPr="00927E1D" w:rsidRDefault="00311379" w:rsidP="009C1DE5">
      <w:pPr>
        <w:ind w:right="124" w:firstLine="0"/>
        <w:jc w:val="center"/>
        <w:rPr>
          <w:color w:val="000000" w:themeColor="text1"/>
        </w:rPr>
      </w:pPr>
      <w:r w:rsidRPr="00927E1D">
        <w:rPr>
          <w:color w:val="000000" w:themeColor="text1"/>
        </w:rPr>
        <w:t>о контрактной системе в сфере закупок</w:t>
      </w:r>
    </w:p>
    <w:tbl>
      <w:tblPr>
        <w:tblW w:w="0" w:type="auto"/>
        <w:tblLayout w:type="fixed"/>
        <w:tblLook w:val="0000"/>
      </w:tblPr>
      <w:tblGrid>
        <w:gridCol w:w="4842"/>
        <w:gridCol w:w="5006"/>
      </w:tblGrid>
      <w:tr w:rsidR="00927E1D" w:rsidRPr="00A76AB4">
        <w:tblPrEx>
          <w:tblCellMar>
            <w:top w:w="0" w:type="dxa"/>
            <w:bottom w:w="0" w:type="dxa"/>
          </w:tblCellMar>
        </w:tblPrEx>
        <w:tc>
          <w:tcPr>
            <w:tcW w:w="4842" w:type="dxa"/>
            <w:tcBorders>
              <w:top w:val="nil"/>
              <w:left w:val="nil"/>
              <w:bottom w:val="nil"/>
              <w:right w:val="nil"/>
            </w:tcBorders>
            <w:tcMar>
              <w:left w:w="108" w:type="dxa"/>
              <w:right w:w="108" w:type="dxa"/>
            </w:tcMar>
          </w:tcPr>
          <w:p w:rsidR="00311379" w:rsidRPr="00A76AB4" w:rsidRDefault="00311379">
            <w:pPr>
              <w:ind w:firstLine="0"/>
              <w:rPr>
                <w:rFonts w:eastAsiaTheme="minorEastAsia"/>
                <w:color w:val="000000" w:themeColor="text1"/>
              </w:rPr>
            </w:pPr>
            <w:r w:rsidRPr="00A76AB4">
              <w:rPr>
                <w:rFonts w:eastAsiaTheme="minorEastAsia"/>
                <w:color w:val="000000" w:themeColor="text1"/>
              </w:rPr>
              <w:t>02.09.2016</w:t>
            </w:r>
          </w:p>
        </w:tc>
        <w:tc>
          <w:tcPr>
            <w:tcW w:w="5006" w:type="dxa"/>
            <w:tcBorders>
              <w:top w:val="nil"/>
              <w:left w:val="nil"/>
              <w:bottom w:val="nil"/>
              <w:right w:val="nil"/>
            </w:tcBorders>
            <w:tcMar>
              <w:left w:w="108" w:type="dxa"/>
              <w:right w:w="108" w:type="dxa"/>
            </w:tcMar>
          </w:tcPr>
          <w:p w:rsidR="00311379" w:rsidRPr="00A76AB4" w:rsidRDefault="00311379">
            <w:pPr>
              <w:ind w:firstLine="0"/>
              <w:jc w:val="right"/>
              <w:rPr>
                <w:rFonts w:eastAsiaTheme="minorEastAsia"/>
                <w:color w:val="000000" w:themeColor="text1"/>
              </w:rPr>
            </w:pPr>
            <w:r w:rsidRPr="00A76AB4">
              <w:rPr>
                <w:rFonts w:eastAsiaTheme="minorEastAsia"/>
                <w:color w:val="000000" w:themeColor="text1"/>
              </w:rPr>
              <w:t>Москва</w:t>
            </w:r>
          </w:p>
        </w:tc>
      </w:tr>
    </w:tbl>
    <w:p w:rsidR="00311379" w:rsidRPr="00927E1D" w:rsidRDefault="00311379" w:rsidP="009C1DE5">
      <w:pPr>
        <w:ind w:firstLine="0"/>
        <w:rPr>
          <w:color w:val="000000" w:themeColor="text1"/>
        </w:rPr>
      </w:pPr>
    </w:p>
    <w:p w:rsidR="00311379" w:rsidRPr="00927E1D" w:rsidRDefault="00311379" w:rsidP="001634B0">
      <w:pPr>
        <w:jc w:val="both"/>
        <w:rPr>
          <w:color w:val="000000" w:themeColor="text1"/>
        </w:rPr>
      </w:pPr>
      <w:r w:rsidRPr="00927E1D">
        <w:rPr>
          <w:color w:val="000000" w:themeColor="text1"/>
        </w:rPr>
        <w:t>На основании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приказом ФАС России от 21.07.2016 № 1016/16                 «О создании комиссии по контролю в сфере закупок» Комиссия ФАС России по контролю в с</w:t>
      </w:r>
      <w:r w:rsidR="001634B0">
        <w:rPr>
          <w:color w:val="000000" w:themeColor="text1"/>
        </w:rPr>
        <w:t xml:space="preserve">фере закупок (далее – Комиссия), </w:t>
      </w:r>
    </w:p>
    <w:p w:rsidR="00311379" w:rsidRPr="00927E1D" w:rsidRDefault="00311379">
      <w:pPr>
        <w:jc w:val="both"/>
        <w:rPr>
          <w:color w:val="000000" w:themeColor="text1"/>
        </w:rPr>
      </w:pPr>
      <w:r w:rsidRPr="00927E1D">
        <w:rPr>
          <w:color w:val="000000" w:themeColor="text1"/>
        </w:rPr>
        <w:t xml:space="preserve">рассмотрев обращение ООО Новые облачные технологии (далее – Заявитель), содержащее информацию о признаках нарушения законодательства Российской Федерации о контрактной системе в сфере закупок в действиях Министерства строительства и жилищно-коммунального хозяйства Российской Федерации (далее </w:t>
      </w:r>
      <w:r w:rsidR="00927E1D">
        <w:rPr>
          <w:color w:val="000000" w:themeColor="text1"/>
        </w:rPr>
        <w:t>–</w:t>
      </w:r>
      <w:r w:rsidRPr="00927E1D">
        <w:rPr>
          <w:color w:val="000000" w:themeColor="text1"/>
        </w:rPr>
        <w:t xml:space="preserve"> Заказчик) при проведении электронного аукциона на право заключения контракта Заказчиком, ЗАО «Сбербанк-АСТ» (далее - Оператор электронной площадки) на оказание услуг по предоставлению (продлению) неисключительных прав (лицензий) на использование программного обеспечения Microsoft и программных средств антивирусной защиты </w:t>
      </w:r>
      <w:r w:rsidRPr="00927E1D">
        <w:rPr>
          <w:b/>
          <w:bCs/>
          <w:color w:val="000000" w:themeColor="text1"/>
        </w:rPr>
        <w:t xml:space="preserve"> </w:t>
      </w:r>
      <w:r w:rsidRPr="00927E1D">
        <w:rPr>
          <w:color w:val="000000" w:themeColor="text1"/>
        </w:rPr>
        <w:t xml:space="preserve">(номер извещения 0195100000516000040) (далее – Аукцион), и в результате осуществления внеплановой проверки в соответствии с пунктом 2 части 15 статьи 99 Закона о контрактной системе, приказом ФАС России от 21.07.2016 </w:t>
      </w:r>
      <w:r w:rsidR="00927E1D">
        <w:rPr>
          <w:color w:val="000000" w:themeColor="text1"/>
        </w:rPr>
        <w:t xml:space="preserve"> </w:t>
      </w:r>
      <w:r w:rsidRPr="00927E1D">
        <w:rPr>
          <w:color w:val="000000" w:themeColor="text1"/>
        </w:rPr>
        <w:t>№ 1010/16,</w:t>
      </w:r>
    </w:p>
    <w:p w:rsidR="00311379" w:rsidRPr="00927E1D" w:rsidRDefault="00311379">
      <w:pPr>
        <w:jc w:val="center"/>
        <w:rPr>
          <w:color w:val="000000" w:themeColor="text1"/>
        </w:rPr>
      </w:pPr>
      <w:r w:rsidRPr="00927E1D">
        <w:rPr>
          <w:color w:val="000000" w:themeColor="text1"/>
        </w:rPr>
        <w:t>УСТАНОВИЛА:</w:t>
      </w:r>
    </w:p>
    <w:p w:rsidR="00311379" w:rsidRPr="00927E1D" w:rsidRDefault="00311379">
      <w:pPr>
        <w:jc w:val="both"/>
        <w:rPr>
          <w:color w:val="000000" w:themeColor="text1"/>
        </w:rPr>
      </w:pPr>
      <w:r w:rsidRPr="00927E1D">
        <w:rPr>
          <w:color w:val="000000" w:themeColor="text1"/>
        </w:rPr>
        <w:t xml:space="preserve">В Федеральную антимонопольную службу поступило обращение Заявителя, содержащее информацию о признаках нарушения законодательства  Российской Федерации о контрактной системе в сфере закупок в действиях Заказчика при проведении Заказчиком, Оператором электронной площадки Аукциона. </w:t>
      </w:r>
    </w:p>
    <w:p w:rsidR="00311379" w:rsidRPr="00927E1D" w:rsidRDefault="00311379">
      <w:pPr>
        <w:jc w:val="both"/>
        <w:rPr>
          <w:color w:val="000000" w:themeColor="text1"/>
        </w:rPr>
      </w:pPr>
      <w:r w:rsidRPr="00927E1D">
        <w:rPr>
          <w:color w:val="000000" w:themeColor="text1"/>
        </w:rPr>
        <w:t>Из обращения Заявителя следует, что:</w:t>
      </w:r>
    </w:p>
    <w:p w:rsidR="00311379" w:rsidRPr="00927E1D" w:rsidRDefault="00311379">
      <w:pPr>
        <w:jc w:val="both"/>
        <w:rPr>
          <w:color w:val="000000" w:themeColor="text1"/>
        </w:rPr>
      </w:pPr>
      <w:r w:rsidRPr="00927E1D">
        <w:rPr>
          <w:color w:val="000000" w:themeColor="text1"/>
        </w:rPr>
        <w:t>1. Заказчиком неправомерно осуществляется закупка иностранного программного обеспечения;</w:t>
      </w:r>
    </w:p>
    <w:p w:rsidR="00927E1D" w:rsidRDefault="00311379" w:rsidP="00927E1D">
      <w:pPr>
        <w:jc w:val="both"/>
        <w:rPr>
          <w:color w:val="000000" w:themeColor="text1"/>
        </w:rPr>
      </w:pPr>
      <w:r w:rsidRPr="00927E1D">
        <w:rPr>
          <w:color w:val="000000" w:themeColor="text1"/>
        </w:rPr>
        <w:t xml:space="preserve">2. Заказчиком объединено в один предмет закупки программное </w:t>
      </w:r>
      <w:r w:rsidR="00927E1D">
        <w:rPr>
          <w:color w:val="000000" w:themeColor="text1"/>
        </w:rPr>
        <w:t>обе</w:t>
      </w:r>
      <w:r w:rsidRPr="00927E1D">
        <w:rPr>
          <w:color w:val="000000" w:themeColor="text1"/>
        </w:rPr>
        <w:t>спечение иностранного и российского происхождения</w:t>
      </w:r>
      <w:r w:rsidR="00927E1D">
        <w:rPr>
          <w:color w:val="000000" w:themeColor="text1"/>
        </w:rPr>
        <w:t>.</w:t>
      </w:r>
    </w:p>
    <w:p w:rsidR="00311379" w:rsidRPr="00927E1D" w:rsidRDefault="00311379" w:rsidP="00927E1D">
      <w:pPr>
        <w:jc w:val="both"/>
        <w:rPr>
          <w:color w:val="000000" w:themeColor="text1"/>
        </w:rPr>
      </w:pPr>
      <w:r w:rsidRPr="00927E1D">
        <w:rPr>
          <w:color w:val="000000" w:themeColor="text1"/>
        </w:rPr>
        <w:t>Представители Заказчика не согласились</w:t>
      </w:r>
      <w:r w:rsidR="00927E1D">
        <w:rPr>
          <w:color w:val="000000" w:themeColor="text1"/>
        </w:rPr>
        <w:t xml:space="preserve"> </w:t>
      </w:r>
      <w:r w:rsidRPr="00927E1D">
        <w:rPr>
          <w:color w:val="000000" w:themeColor="text1"/>
        </w:rPr>
        <w:t>с доводами Заявителя</w:t>
      </w:r>
      <w:r w:rsidR="00927E1D">
        <w:rPr>
          <w:color w:val="000000" w:themeColor="text1"/>
        </w:rPr>
        <w:t xml:space="preserve">                  </w:t>
      </w:r>
      <w:r w:rsidRPr="00927E1D">
        <w:rPr>
          <w:color w:val="000000" w:themeColor="text1"/>
        </w:rPr>
        <w:t xml:space="preserve"> и сообщили, что при проведении Аукциона Заказчик действовал в соответствии </w:t>
      </w:r>
      <w:r w:rsidRPr="00927E1D">
        <w:rPr>
          <w:color w:val="000000" w:themeColor="text1"/>
        </w:rPr>
        <w:lastRenderedPageBreak/>
        <w:t>с законодательством Российской Федерации о контрактной системе в сфере закупок.</w:t>
      </w:r>
    </w:p>
    <w:p w:rsidR="00311379" w:rsidRPr="00927E1D" w:rsidRDefault="00311379">
      <w:pPr>
        <w:jc w:val="both"/>
        <w:rPr>
          <w:color w:val="000000" w:themeColor="text1"/>
        </w:rPr>
      </w:pPr>
      <w:r w:rsidRPr="00927E1D">
        <w:rPr>
          <w:color w:val="000000" w:themeColor="text1"/>
        </w:rPr>
        <w:t>В результате осуществления в соответствии с пунктом 2 части 15 статьи 99 Закона о контрактной системе внеплановой проверки Комиссия установила следующее.</w:t>
      </w:r>
    </w:p>
    <w:p w:rsidR="00311379" w:rsidRPr="00927E1D" w:rsidRDefault="00311379">
      <w:pPr>
        <w:jc w:val="both"/>
        <w:rPr>
          <w:color w:val="000000" w:themeColor="text1"/>
        </w:rPr>
      </w:pPr>
      <w:r w:rsidRPr="00927E1D">
        <w:rPr>
          <w:color w:val="000000" w:themeColor="text1"/>
        </w:rPr>
        <w:t>В соответствии с извещением о проведении Аукциона, документацией           об Аукционе, протоколами, составленными при осуществлении закупки:</w:t>
      </w:r>
    </w:p>
    <w:p w:rsidR="00311379" w:rsidRPr="00927E1D" w:rsidRDefault="00311379">
      <w:pPr>
        <w:numPr>
          <w:ilvl w:val="0"/>
          <w:numId w:val="5"/>
        </w:numPr>
        <w:ind w:left="0" w:firstLine="902"/>
        <w:jc w:val="both"/>
        <w:rPr>
          <w:color w:val="000000" w:themeColor="text1"/>
        </w:rPr>
      </w:pPr>
      <w:r w:rsidRPr="00927E1D">
        <w:rPr>
          <w:color w:val="000000" w:themeColor="text1"/>
        </w:rPr>
        <w:t xml:space="preserve">извещение о проведении Аукциона размещено на официальном сайте Российской Федерации на официальном сайте </w:t>
      </w:r>
      <w:r w:rsidR="00927E1D">
        <w:rPr>
          <w:color w:val="000000" w:themeColor="text1"/>
        </w:rPr>
        <w:t>Единой</w:t>
      </w:r>
      <w:r w:rsidRPr="00927E1D">
        <w:rPr>
          <w:color w:val="000000" w:themeColor="text1"/>
        </w:rPr>
        <w:t xml:space="preserve"> информационной системе в сфере закупок www.zakupki.gov.ru (далее – ЕИС) – 28.07.2016;</w:t>
      </w:r>
    </w:p>
    <w:p w:rsidR="00311379" w:rsidRPr="00927E1D" w:rsidRDefault="00311379">
      <w:pPr>
        <w:numPr>
          <w:ilvl w:val="0"/>
          <w:numId w:val="5"/>
        </w:numPr>
        <w:ind w:left="0" w:firstLine="902"/>
        <w:jc w:val="both"/>
        <w:rPr>
          <w:color w:val="000000" w:themeColor="text1"/>
        </w:rPr>
      </w:pPr>
      <w:r w:rsidRPr="00927E1D">
        <w:rPr>
          <w:color w:val="000000" w:themeColor="text1"/>
        </w:rPr>
        <w:t>начальная (максимальная) цена контракта –</w:t>
      </w:r>
      <w:r w:rsidR="00927E1D">
        <w:rPr>
          <w:color w:val="000000" w:themeColor="text1"/>
        </w:rPr>
        <w:t xml:space="preserve"> </w:t>
      </w:r>
      <w:r w:rsidRPr="00927E1D">
        <w:rPr>
          <w:color w:val="000000" w:themeColor="text1"/>
        </w:rPr>
        <w:t>15 181 873,33 рубля;</w:t>
      </w:r>
    </w:p>
    <w:p w:rsidR="00311379" w:rsidRPr="00927E1D" w:rsidRDefault="00311379">
      <w:pPr>
        <w:numPr>
          <w:ilvl w:val="0"/>
          <w:numId w:val="5"/>
        </w:numPr>
        <w:ind w:left="0" w:firstLine="902"/>
        <w:jc w:val="both"/>
        <w:rPr>
          <w:color w:val="000000" w:themeColor="text1"/>
        </w:rPr>
      </w:pPr>
      <w:r w:rsidRPr="00927E1D">
        <w:rPr>
          <w:color w:val="000000" w:themeColor="text1"/>
        </w:rPr>
        <w:t>на участие в Аукционе подано 3 заявки от участников закупки;</w:t>
      </w:r>
    </w:p>
    <w:p w:rsidR="00311379" w:rsidRPr="00927E1D" w:rsidRDefault="00311379">
      <w:pPr>
        <w:numPr>
          <w:ilvl w:val="0"/>
          <w:numId w:val="5"/>
        </w:numPr>
        <w:ind w:left="0" w:firstLine="902"/>
        <w:jc w:val="both"/>
        <w:rPr>
          <w:color w:val="000000" w:themeColor="text1"/>
        </w:rPr>
      </w:pPr>
      <w:r w:rsidRPr="00927E1D">
        <w:rPr>
          <w:color w:val="000000" w:themeColor="text1"/>
        </w:rPr>
        <w:t>к участию в Аукционе допущено 2 участника закупки;</w:t>
      </w:r>
    </w:p>
    <w:p w:rsidR="00311379" w:rsidRPr="00927E1D" w:rsidRDefault="00311379">
      <w:pPr>
        <w:numPr>
          <w:ilvl w:val="0"/>
          <w:numId w:val="5"/>
        </w:numPr>
        <w:ind w:left="0" w:firstLine="902"/>
        <w:rPr>
          <w:color w:val="000000" w:themeColor="text1"/>
        </w:rPr>
      </w:pPr>
      <w:r w:rsidRPr="00927E1D">
        <w:rPr>
          <w:color w:val="000000" w:themeColor="text1"/>
        </w:rPr>
        <w:t>дата проведения Аукциона – 19.08.2016;</w:t>
      </w:r>
    </w:p>
    <w:p w:rsidR="00311379" w:rsidRPr="00927E1D" w:rsidRDefault="00311379">
      <w:pPr>
        <w:numPr>
          <w:ilvl w:val="0"/>
          <w:numId w:val="5"/>
        </w:numPr>
        <w:ind w:left="0" w:firstLine="902"/>
        <w:jc w:val="both"/>
        <w:rPr>
          <w:color w:val="000000" w:themeColor="text1"/>
        </w:rPr>
      </w:pPr>
      <w:r w:rsidRPr="00927E1D">
        <w:rPr>
          <w:color w:val="000000" w:themeColor="text1"/>
        </w:rPr>
        <w:t>в период проведения Аукциона поданы предложения о цене контракта от 2 участников Аукциона;</w:t>
      </w:r>
    </w:p>
    <w:p w:rsidR="00311379" w:rsidRPr="00927E1D" w:rsidRDefault="00311379">
      <w:pPr>
        <w:numPr>
          <w:ilvl w:val="0"/>
          <w:numId w:val="5"/>
        </w:numPr>
        <w:ind w:left="0" w:firstLine="902"/>
        <w:jc w:val="both"/>
        <w:rPr>
          <w:color w:val="000000" w:themeColor="text1"/>
        </w:rPr>
      </w:pPr>
      <w:r w:rsidRPr="00927E1D">
        <w:rPr>
          <w:color w:val="000000" w:themeColor="text1"/>
        </w:rPr>
        <w:t>минимальное предложение о цене контракта – 15 105 963, 96 рубля;</w:t>
      </w:r>
    </w:p>
    <w:p w:rsidR="00311379" w:rsidRPr="00927E1D" w:rsidRDefault="00311379">
      <w:pPr>
        <w:numPr>
          <w:ilvl w:val="0"/>
          <w:numId w:val="5"/>
        </w:numPr>
        <w:ind w:left="0" w:firstLine="902"/>
        <w:jc w:val="both"/>
        <w:rPr>
          <w:color w:val="000000" w:themeColor="text1"/>
        </w:rPr>
      </w:pPr>
      <w:r w:rsidRPr="00927E1D">
        <w:rPr>
          <w:color w:val="000000" w:themeColor="text1"/>
        </w:rPr>
        <w:t>победителем Аукциона признано ООО «ГЕОКЭПИТАЛ»                             с предложением о цене контракта 15 105 963, 96 рубля;</w:t>
      </w:r>
    </w:p>
    <w:p w:rsidR="00311379" w:rsidRPr="009C1DE5" w:rsidRDefault="00311379" w:rsidP="009C1DE5">
      <w:pPr>
        <w:numPr>
          <w:ilvl w:val="0"/>
          <w:numId w:val="5"/>
        </w:numPr>
        <w:ind w:left="0" w:firstLine="902"/>
        <w:jc w:val="both"/>
        <w:rPr>
          <w:color w:val="000000" w:themeColor="text1"/>
        </w:rPr>
      </w:pPr>
      <w:r w:rsidRPr="00927E1D">
        <w:rPr>
          <w:color w:val="000000" w:themeColor="text1"/>
        </w:rPr>
        <w:t>Заказчиком 30.08.2016 заключен контракт                                                      № 0195100000516000040-0453946-01 с ООО «ГЕОКЭПИТАЛ</w:t>
      </w:r>
      <w:r w:rsidR="009C1DE5">
        <w:rPr>
          <w:color w:val="000000" w:themeColor="text1"/>
        </w:rPr>
        <w:t>» по цене 15 105 963, 96 рубля.</w:t>
      </w:r>
    </w:p>
    <w:p w:rsidR="00311379" w:rsidRPr="00927E1D" w:rsidRDefault="00311379">
      <w:pPr>
        <w:ind w:firstLine="902"/>
        <w:jc w:val="both"/>
        <w:rPr>
          <w:color w:val="000000" w:themeColor="text1"/>
        </w:rPr>
      </w:pPr>
      <w:r w:rsidRPr="00927E1D">
        <w:rPr>
          <w:color w:val="000000" w:themeColor="text1"/>
        </w:rPr>
        <w:t xml:space="preserve">1. 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w:t>
      </w:r>
      <w:r w:rsidRPr="00927E1D">
        <w:rPr>
          <w:color w:val="000000" w:themeColor="text1"/>
        </w:rPr>
        <w:lastRenderedPageBreak/>
        <w:t>происхождения указанных товаров осуществляется в соответствии с законодательством Российской Федерации.</w:t>
      </w:r>
    </w:p>
    <w:p w:rsidR="00311379" w:rsidRPr="00927E1D" w:rsidRDefault="00311379">
      <w:pPr>
        <w:ind w:firstLine="902"/>
        <w:jc w:val="both"/>
        <w:rPr>
          <w:color w:val="000000" w:themeColor="text1"/>
        </w:rPr>
      </w:pPr>
      <w:r w:rsidRPr="00927E1D">
        <w:rPr>
          <w:color w:val="000000" w:themeColor="text1"/>
        </w:rPr>
        <w:t>В соответствии с пунктом 2 Постановления Правительства Российской Федерации от 16.11.2016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311379" w:rsidRPr="00927E1D" w:rsidRDefault="00311379">
      <w:pPr>
        <w:ind w:firstLine="902"/>
        <w:jc w:val="both"/>
        <w:rPr>
          <w:color w:val="000000" w:themeColor="text1"/>
        </w:rPr>
      </w:pPr>
      <w:r w:rsidRPr="00927E1D">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11379" w:rsidRPr="00927E1D" w:rsidRDefault="00311379">
      <w:pPr>
        <w:ind w:firstLine="902"/>
        <w:jc w:val="both"/>
        <w:rPr>
          <w:color w:val="000000" w:themeColor="text1"/>
        </w:rPr>
      </w:pPr>
      <w:r w:rsidRPr="00927E1D">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11379" w:rsidRPr="00927E1D" w:rsidRDefault="00311379">
      <w:pPr>
        <w:ind w:firstLine="902"/>
        <w:jc w:val="both"/>
        <w:rPr>
          <w:color w:val="000000" w:themeColor="text1"/>
        </w:rPr>
      </w:pPr>
      <w:r w:rsidRPr="00927E1D">
        <w:rPr>
          <w:color w:val="000000" w:themeColor="text1"/>
        </w:rPr>
        <w:t>В соответствии с пунктом 3 Порядка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Порядок), утвержденного Постановлением № 1236 обоснование должно содержать указание на:</w:t>
      </w:r>
    </w:p>
    <w:p w:rsidR="00311379" w:rsidRPr="00927E1D" w:rsidRDefault="00311379">
      <w:pPr>
        <w:ind w:firstLine="902"/>
        <w:jc w:val="both"/>
        <w:rPr>
          <w:color w:val="000000" w:themeColor="text1"/>
        </w:rPr>
      </w:pPr>
      <w:r w:rsidRPr="00927E1D">
        <w:rPr>
          <w:color w:val="000000" w:themeColor="text1"/>
        </w:rPr>
        <w:t>а) обстоятельство, предусмотренное подпунктом «а» или «б» пункта 2 настоящего Порядка;</w:t>
      </w:r>
    </w:p>
    <w:p w:rsidR="00311379" w:rsidRPr="00927E1D" w:rsidRDefault="00311379">
      <w:pPr>
        <w:ind w:firstLine="902"/>
        <w:jc w:val="both"/>
        <w:rPr>
          <w:color w:val="000000" w:themeColor="text1"/>
        </w:rPr>
      </w:pPr>
      <w:r w:rsidRPr="00927E1D">
        <w:rPr>
          <w:color w:val="000000" w:themeColor="text1"/>
        </w:rPr>
        <w:t>б) класс (классы) программного обеспечения, которому (которым) должно соответствовать программное обеспечение, являющееся объектом закупки;</w:t>
      </w:r>
    </w:p>
    <w:p w:rsidR="00311379" w:rsidRPr="00927E1D" w:rsidRDefault="00311379">
      <w:pPr>
        <w:ind w:firstLine="902"/>
        <w:jc w:val="both"/>
        <w:rPr>
          <w:color w:val="000000" w:themeColor="text1"/>
        </w:rPr>
      </w:pPr>
      <w:r w:rsidRPr="00927E1D">
        <w:rPr>
          <w:color w:val="000000" w:themeColor="text1"/>
        </w:rP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311379" w:rsidRPr="00927E1D" w:rsidRDefault="00311379">
      <w:pPr>
        <w:ind w:firstLine="902"/>
        <w:jc w:val="both"/>
        <w:rPr>
          <w:color w:val="000000" w:themeColor="text1"/>
        </w:rPr>
      </w:pPr>
      <w:r w:rsidRPr="00927E1D">
        <w:rPr>
          <w:color w:val="000000" w:themeColor="text1"/>
        </w:rPr>
        <w:t xml:space="preserve">г) функциональные, технические и (или) эксплуатационные </w:t>
      </w:r>
      <w:r w:rsidRPr="00927E1D">
        <w:rPr>
          <w:color w:val="000000" w:themeColor="text1"/>
        </w:rPr>
        <w:lastRenderedPageBreak/>
        <w:t>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подпунктом «б» пункта 2 настоящего Порядка).</w:t>
      </w:r>
    </w:p>
    <w:p w:rsidR="00927E1D" w:rsidRPr="00927E1D" w:rsidRDefault="00311379" w:rsidP="00311379">
      <w:pPr>
        <w:ind w:firstLine="902"/>
        <w:jc w:val="both"/>
        <w:rPr>
          <w:color w:val="000000" w:themeColor="text1"/>
        </w:rPr>
      </w:pPr>
      <w:r w:rsidRPr="00927E1D">
        <w:rPr>
          <w:color w:val="000000" w:themeColor="text1"/>
        </w:rPr>
        <w:t>Заказчиком</w:t>
      </w:r>
      <w:r>
        <w:rPr>
          <w:color w:val="000000" w:themeColor="text1"/>
        </w:rPr>
        <w:t xml:space="preserve"> 29.07.2016 в документации об Аукционе включено положение - </w:t>
      </w:r>
      <w:r w:rsidRPr="00927E1D">
        <w:rPr>
          <w:color w:val="000000" w:themeColor="text1"/>
        </w:rPr>
        <w:t>обоснование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нужд (далее – Обоснование) на основании подпункта «б» пункта 2 Постановления № 1236.</w:t>
      </w:r>
    </w:p>
    <w:p w:rsidR="00311379" w:rsidRPr="00927E1D" w:rsidRDefault="00311379">
      <w:pPr>
        <w:ind w:firstLine="902"/>
        <w:jc w:val="both"/>
        <w:rPr>
          <w:color w:val="000000" w:themeColor="text1"/>
        </w:rPr>
      </w:pPr>
      <w:r w:rsidRPr="00927E1D">
        <w:rPr>
          <w:color w:val="000000" w:themeColor="text1"/>
        </w:rPr>
        <w:t>Согласно Обоснованию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Государственным заказчиком требованиям к планируемому к закупке программному обеспечению».</w:t>
      </w:r>
    </w:p>
    <w:p w:rsidR="00311379" w:rsidRPr="00927E1D" w:rsidRDefault="00311379">
      <w:pPr>
        <w:ind w:firstLine="902"/>
        <w:jc w:val="both"/>
        <w:rPr>
          <w:color w:val="000000" w:themeColor="text1"/>
        </w:rPr>
      </w:pPr>
      <w:r w:rsidRPr="00927E1D">
        <w:rPr>
          <w:color w:val="000000" w:themeColor="text1"/>
        </w:rPr>
        <w:t>Вместе с тем, в Обосновании не указаны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 являющееся объектом закупки.</w:t>
      </w:r>
    </w:p>
    <w:p w:rsidR="00311379" w:rsidRPr="00927E1D" w:rsidRDefault="00311379">
      <w:pPr>
        <w:ind w:firstLine="902"/>
        <w:jc w:val="both"/>
        <w:rPr>
          <w:color w:val="000000" w:themeColor="text1"/>
        </w:rPr>
      </w:pPr>
      <w:r w:rsidRPr="00927E1D">
        <w:rPr>
          <w:color w:val="000000" w:themeColor="text1"/>
        </w:rPr>
        <w:t>При этом, согласно документации об Аукционе, потребностями Заказчика является оказание услуг на продление неисключительных прав (лицензий) на использование программного обеспечения Microsoft Office, производителем которого является иностранная Корпорация Microsoft.</w:t>
      </w:r>
    </w:p>
    <w:p w:rsidR="00311379" w:rsidRPr="00927E1D" w:rsidRDefault="00311379">
      <w:pPr>
        <w:ind w:firstLine="902"/>
        <w:jc w:val="both"/>
        <w:rPr>
          <w:color w:val="000000" w:themeColor="text1"/>
        </w:rPr>
      </w:pPr>
      <w:r w:rsidRPr="00927E1D">
        <w:rPr>
          <w:color w:val="000000" w:themeColor="text1"/>
        </w:rPr>
        <w:t>Однако согласно извещению об Аукционе, пункту 22 Информационной карты документации об Аукционе Заказчиком установлен 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16 ноября 2015 г. № 1236, в соответствии с аукционной документацией».</w:t>
      </w:r>
    </w:p>
    <w:p w:rsidR="00311379" w:rsidRPr="00927E1D" w:rsidRDefault="00311379">
      <w:pPr>
        <w:ind w:firstLine="902"/>
        <w:jc w:val="both"/>
        <w:rPr>
          <w:color w:val="000000" w:themeColor="text1"/>
        </w:rPr>
      </w:pPr>
      <w:r w:rsidRPr="00927E1D">
        <w:rPr>
          <w:color w:val="000000" w:themeColor="text1"/>
        </w:rPr>
        <w:lastRenderedPageBreak/>
        <w:t>В соответс</w:t>
      </w:r>
      <w:r w:rsidR="00927E1D">
        <w:rPr>
          <w:color w:val="000000" w:themeColor="text1"/>
        </w:rPr>
        <w:t>т</w:t>
      </w:r>
      <w:r w:rsidRPr="00927E1D">
        <w:rPr>
          <w:color w:val="000000" w:themeColor="text1"/>
        </w:rPr>
        <w:t>вии с пунктом 7 части 5 статьи 63 Закона о контрактной системе в извещении о проведении электронного аукциона наряду с информацией, указанной в статье 42 Закона о конт</w:t>
      </w:r>
      <w:r w:rsidR="00927E1D">
        <w:rPr>
          <w:color w:val="000000" w:themeColor="text1"/>
        </w:rPr>
        <w:t>рактно</w:t>
      </w:r>
      <w:r>
        <w:rPr>
          <w:color w:val="000000" w:themeColor="text1"/>
        </w:rPr>
        <w:t>й</w:t>
      </w:r>
      <w:r w:rsidRPr="00927E1D">
        <w:rPr>
          <w:color w:val="000000" w:themeColor="text1"/>
        </w:rPr>
        <w:t xml:space="preserve"> системе,  указываются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1DE5" w:rsidRDefault="00311379" w:rsidP="009C1DE5">
      <w:pPr>
        <w:ind w:firstLine="902"/>
        <w:jc w:val="both"/>
        <w:rPr>
          <w:color w:val="000000" w:themeColor="text1"/>
        </w:rPr>
      </w:pPr>
      <w:r w:rsidRPr="00927E1D">
        <w:rPr>
          <w:color w:val="000000" w:themeColor="text1"/>
        </w:rPr>
        <w:t>Таким образом, Обоснование составлено Заказчиком с нарушением требований Постановления № 1236, а также в документации об Аукционе установлены противоречивые условия.</w:t>
      </w:r>
    </w:p>
    <w:p w:rsidR="00311379" w:rsidRPr="00927E1D" w:rsidRDefault="009C1DE5" w:rsidP="009C1DE5">
      <w:pPr>
        <w:ind w:firstLine="902"/>
        <w:jc w:val="both"/>
        <w:rPr>
          <w:color w:val="000000" w:themeColor="text1"/>
        </w:rPr>
      </w:pPr>
      <w:r>
        <w:rPr>
          <w:color w:val="000000" w:themeColor="text1"/>
        </w:rPr>
        <w:t xml:space="preserve">Таким образом, </w:t>
      </w:r>
      <w:r w:rsidR="00311379" w:rsidRPr="00927E1D">
        <w:rPr>
          <w:color w:val="000000" w:themeColor="text1"/>
        </w:rPr>
        <w:t>действия Заказчика нарушают часть 3 статьи 14 Закона о контрактной системе и содержат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r>
        <w:rPr>
          <w:color w:val="000000" w:themeColor="text1"/>
        </w:rPr>
        <w:t xml:space="preserve"> (далее – КоАП). </w:t>
      </w:r>
    </w:p>
    <w:p w:rsidR="00311379" w:rsidRPr="00927E1D" w:rsidRDefault="00311379">
      <w:pPr>
        <w:ind w:firstLine="902"/>
        <w:jc w:val="both"/>
        <w:rPr>
          <w:color w:val="000000" w:themeColor="text1"/>
        </w:rPr>
      </w:pPr>
      <w:r w:rsidRPr="00927E1D">
        <w:rPr>
          <w:color w:val="000000" w:themeColor="text1"/>
        </w:rPr>
        <w:t>2. В соответствии с пунктом 1 части 1 статьи 64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статьей 33 Закона о контрактной системе.</w:t>
      </w:r>
    </w:p>
    <w:p w:rsidR="00311379" w:rsidRPr="00927E1D" w:rsidRDefault="00311379" w:rsidP="00311379">
      <w:pPr>
        <w:ind w:firstLine="902"/>
        <w:jc w:val="both"/>
        <w:rPr>
          <w:color w:val="000000" w:themeColor="text1"/>
        </w:rPr>
      </w:pPr>
      <w:r w:rsidRPr="00927E1D">
        <w:rPr>
          <w:color w:val="000000" w:themeColor="text1"/>
        </w:rPr>
        <w:t>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311379" w:rsidRDefault="00311379" w:rsidP="00311379">
      <w:pPr>
        <w:ind w:firstLine="902"/>
        <w:jc w:val="both"/>
        <w:rPr>
          <w:color w:val="000000" w:themeColor="text1"/>
        </w:rPr>
      </w:pPr>
      <w:r w:rsidRPr="00927E1D">
        <w:rPr>
          <w:color w:val="000000" w:themeColor="text1"/>
        </w:rPr>
        <w:t xml:space="preserve">Согласно пояснениям Заказчика на заседании Комиссии, в предмет закупки входит продление неисключительных прав (лицензий) на использование программного обеспечения Microsoft Office, а также на использование программных средств антивирусной защиты российского </w:t>
      </w:r>
      <w:r w:rsidR="00927E1D" w:rsidRPr="00927E1D">
        <w:rPr>
          <w:color w:val="000000" w:themeColor="text1"/>
        </w:rPr>
        <w:t>происхо</w:t>
      </w:r>
      <w:r w:rsidRPr="00927E1D">
        <w:rPr>
          <w:color w:val="000000" w:themeColor="text1"/>
        </w:rPr>
        <w:t xml:space="preserve">ждения. </w:t>
      </w:r>
    </w:p>
    <w:p w:rsidR="00311379" w:rsidRDefault="00311379" w:rsidP="00311379">
      <w:pPr>
        <w:ind w:firstLine="902"/>
        <w:jc w:val="both"/>
      </w:pPr>
      <w:r>
        <w:rPr>
          <w:color w:val="000000" w:themeColor="text1"/>
        </w:rPr>
        <w:t>Вместе с тем, в документации об Аукционе, установлен запрет                     в соответствии с</w:t>
      </w:r>
      <w:r w:rsidR="009C1DE5">
        <w:rPr>
          <w:color w:val="000000" w:themeColor="text1"/>
        </w:rPr>
        <w:t xml:space="preserve"> Постановлением 1236, при этом </w:t>
      </w:r>
      <w:r>
        <w:rPr>
          <w:color w:val="000000" w:themeColor="text1"/>
        </w:rPr>
        <w:t xml:space="preserve">в документации об Аукционе </w:t>
      </w:r>
      <w:r w:rsidRPr="00311379">
        <w:t>включено положение - обоснование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нужд</w:t>
      </w:r>
      <w:r>
        <w:t>.</w:t>
      </w:r>
    </w:p>
    <w:p w:rsidR="009C1DE5" w:rsidRDefault="00311379" w:rsidP="009C1DE5">
      <w:pPr>
        <w:ind w:firstLine="902"/>
        <w:jc w:val="both"/>
      </w:pPr>
      <w:r>
        <w:t xml:space="preserve">Таким образом, Комиссия приходит к выводу, что включение </w:t>
      </w:r>
      <w:r>
        <w:lastRenderedPageBreak/>
        <w:t xml:space="preserve">Заказчиком </w:t>
      </w:r>
      <w:r w:rsidRPr="00311379">
        <w:t xml:space="preserve">в </w:t>
      </w:r>
      <w:r w:rsidR="009C1DE5">
        <w:t>один предмет закупки программного обеспечения</w:t>
      </w:r>
      <w:r w:rsidRPr="00311379">
        <w:t xml:space="preserve"> иностранного </w:t>
      </w:r>
      <w:r w:rsidR="009C1DE5">
        <w:t xml:space="preserve">  </w:t>
      </w:r>
      <w:r w:rsidRPr="00311379">
        <w:t>и российского происхождения</w:t>
      </w:r>
      <w:r w:rsidR="009C1DE5">
        <w:t xml:space="preserve">, а также </w:t>
      </w:r>
      <w:r>
        <w:t>установившего в документации об Аукционе противоречивые условия вводят у</w:t>
      </w:r>
      <w:r w:rsidR="009C1DE5">
        <w:t>частников закупки в заблуждение.</w:t>
      </w:r>
    </w:p>
    <w:p w:rsidR="00311379" w:rsidRPr="009C1DE5" w:rsidRDefault="009C1DE5" w:rsidP="009C1DE5">
      <w:pPr>
        <w:ind w:firstLine="902"/>
        <w:jc w:val="both"/>
      </w:pPr>
      <w:r w:rsidRPr="009C1DE5">
        <w:t>Вышеуказанные</w:t>
      </w:r>
      <w:r>
        <w:t xml:space="preserve"> </w:t>
      </w:r>
      <w:r>
        <w:rPr>
          <w:color w:val="000000" w:themeColor="text1"/>
        </w:rPr>
        <w:t>действия Заказчика нарушаю</w:t>
      </w:r>
      <w:r w:rsidR="00311379" w:rsidRPr="00927E1D">
        <w:rPr>
          <w:color w:val="000000" w:themeColor="text1"/>
        </w:rPr>
        <w:t xml:space="preserve">т пункт 1 часть 1 статьи 64 и содержат признаки состава административного правонарушения предусмотренного частью 4.2 статьи 7.30 КоАП. </w:t>
      </w:r>
    </w:p>
    <w:p w:rsidR="00927E1D" w:rsidRDefault="00311379" w:rsidP="00927E1D">
      <w:pPr>
        <w:spacing w:after="192"/>
        <w:ind w:firstLine="851"/>
        <w:jc w:val="both"/>
        <w:rPr>
          <w:color w:val="000000" w:themeColor="text1"/>
        </w:rPr>
      </w:pPr>
      <w:r w:rsidRPr="00927E1D">
        <w:rPr>
          <w:color w:val="000000" w:themeColor="text1"/>
        </w:rPr>
        <w:t>На основании изложенного, руководствуясь</w:t>
      </w:r>
      <w:r w:rsidR="00927E1D">
        <w:rPr>
          <w:color w:val="000000" w:themeColor="text1"/>
        </w:rPr>
        <w:t xml:space="preserve"> </w:t>
      </w:r>
      <w:r w:rsidRPr="00927E1D">
        <w:rPr>
          <w:color w:val="000000" w:themeColor="text1"/>
        </w:rPr>
        <w:t>частью 1 статьи 2, пунктом 2 части 15 статьи</w:t>
      </w:r>
      <w:r w:rsidR="00927E1D">
        <w:rPr>
          <w:color w:val="000000" w:themeColor="text1"/>
        </w:rPr>
        <w:t xml:space="preserve"> 99 </w:t>
      </w:r>
      <w:r w:rsidRPr="00927E1D">
        <w:rPr>
          <w:color w:val="000000" w:themeColor="text1"/>
        </w:rPr>
        <w:t>Закона о контрактной системе, приказом ФАС России</w:t>
      </w:r>
      <w:r w:rsidR="00927E1D" w:rsidRPr="00927E1D">
        <w:rPr>
          <w:color w:val="000000" w:themeColor="text1"/>
        </w:rPr>
        <w:t xml:space="preserve"> </w:t>
      </w:r>
      <w:r w:rsidRPr="00927E1D">
        <w:rPr>
          <w:color w:val="000000" w:themeColor="text1"/>
        </w:rPr>
        <w:t>от 21.07.2016 № 1016/16, Комиссия</w:t>
      </w:r>
    </w:p>
    <w:p w:rsidR="00311379" w:rsidRPr="00927E1D" w:rsidRDefault="00311379" w:rsidP="00927E1D">
      <w:pPr>
        <w:spacing w:after="192"/>
        <w:ind w:firstLine="851"/>
        <w:jc w:val="center"/>
        <w:rPr>
          <w:color w:val="000000" w:themeColor="text1"/>
        </w:rPr>
      </w:pPr>
      <w:r w:rsidRPr="00927E1D">
        <w:rPr>
          <w:color w:val="000000" w:themeColor="text1"/>
        </w:rPr>
        <w:t>РЕШИЛА:</w:t>
      </w:r>
    </w:p>
    <w:p w:rsidR="00311379" w:rsidRPr="00927E1D" w:rsidRDefault="00311379">
      <w:pPr>
        <w:jc w:val="center"/>
        <w:rPr>
          <w:color w:val="000000" w:themeColor="text1"/>
        </w:rPr>
      </w:pPr>
    </w:p>
    <w:p w:rsidR="00311379" w:rsidRPr="00927E1D" w:rsidRDefault="00311379">
      <w:pPr>
        <w:ind w:firstLine="720"/>
        <w:rPr>
          <w:color w:val="000000" w:themeColor="text1"/>
        </w:rPr>
      </w:pPr>
      <w:r w:rsidRPr="00927E1D">
        <w:rPr>
          <w:color w:val="000000" w:themeColor="text1"/>
        </w:rPr>
        <w:t xml:space="preserve">1. </w:t>
      </w:r>
      <w:r w:rsidRPr="00927E1D">
        <w:rPr>
          <w:color w:val="000000" w:themeColor="text1"/>
          <w:sz w:val="24"/>
          <w:szCs w:val="24"/>
        </w:rPr>
        <w:t xml:space="preserve"> </w:t>
      </w:r>
      <w:r w:rsidRPr="00927E1D">
        <w:rPr>
          <w:color w:val="000000" w:themeColor="text1"/>
        </w:rPr>
        <w:t>Признать в действиях Заказчика нарушения части 3 статьи 14, пункта 1 части 1 статьи 64 Закона о контрактной системе;</w:t>
      </w:r>
    </w:p>
    <w:p w:rsidR="00311379" w:rsidRPr="00927E1D" w:rsidRDefault="00311379">
      <w:pPr>
        <w:ind w:firstLine="720"/>
        <w:rPr>
          <w:color w:val="000000" w:themeColor="text1"/>
        </w:rPr>
      </w:pPr>
    </w:p>
    <w:p w:rsidR="00311379" w:rsidRPr="00927E1D" w:rsidRDefault="00311379">
      <w:pPr>
        <w:ind w:firstLine="720"/>
        <w:jc w:val="both"/>
        <w:rPr>
          <w:color w:val="000000" w:themeColor="text1"/>
        </w:rPr>
      </w:pPr>
      <w:r w:rsidRPr="00927E1D">
        <w:rPr>
          <w:color w:val="000000" w:themeColor="text1"/>
        </w:rPr>
        <w:t xml:space="preserve">2. В связи с тем, что по результатам проведения Аукциона, заключен контракт, предписание об устранении нарушений законодательства Российской Федерации о контрактной системе в сфере закупок не выдавать. </w:t>
      </w:r>
    </w:p>
    <w:p w:rsidR="00311379" w:rsidRPr="00927E1D" w:rsidRDefault="00311379">
      <w:pPr>
        <w:ind w:firstLine="720"/>
        <w:rPr>
          <w:color w:val="000000" w:themeColor="text1"/>
        </w:rPr>
      </w:pPr>
    </w:p>
    <w:p w:rsidR="00311379" w:rsidRPr="00927E1D" w:rsidRDefault="00311379">
      <w:pPr>
        <w:ind w:firstLine="720"/>
        <w:jc w:val="both"/>
        <w:rPr>
          <w:color w:val="000000" w:themeColor="text1"/>
        </w:rPr>
      </w:pPr>
      <w:r w:rsidRPr="00927E1D">
        <w:rPr>
          <w:color w:val="000000" w:themeColor="text1"/>
        </w:rPr>
        <w:t>3. Передать материалы дела от 02.09.2016 № П-154/16 соответствующему должностному лицу Управления контроля размещения государственного заказа ФАС России для рассмотрения вопроса о возбуждении дел об административных правонарушениях.</w:t>
      </w:r>
    </w:p>
    <w:p w:rsidR="00311379" w:rsidRPr="00927E1D" w:rsidRDefault="00311379">
      <w:pPr>
        <w:ind w:firstLine="720"/>
        <w:rPr>
          <w:color w:val="000000" w:themeColor="text1"/>
        </w:rPr>
      </w:pPr>
    </w:p>
    <w:p w:rsidR="00311379" w:rsidRPr="00927E1D" w:rsidRDefault="00311379" w:rsidP="001634B0">
      <w:pPr>
        <w:jc w:val="both"/>
        <w:rPr>
          <w:color w:val="000000" w:themeColor="text1"/>
        </w:rPr>
      </w:pPr>
      <w:r w:rsidRPr="00927E1D">
        <w:rPr>
          <w:color w:val="000000" w:themeColor="text1"/>
        </w:rPr>
        <w:t>Настоящее решение может быть обжаловано в суде, арбитражном суде в течение трех месяцев в</w:t>
      </w:r>
      <w:r w:rsidR="001634B0">
        <w:rPr>
          <w:color w:val="000000" w:themeColor="text1"/>
        </w:rPr>
        <w:t xml:space="preserve"> установленном законом порядке.</w:t>
      </w:r>
    </w:p>
    <w:sectPr w:rsidR="00311379" w:rsidRPr="00927E1D">
      <w:headerReference w:type="default" r:id="rId7"/>
      <w:footerReference w:type="default" r:id="rId8"/>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AB4" w:rsidRDefault="00A76AB4">
      <w:r>
        <w:separator/>
      </w:r>
    </w:p>
  </w:endnote>
  <w:endnote w:type="continuationSeparator" w:id="1">
    <w:p w:rsidR="00A76AB4" w:rsidRDefault="00A76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79" w:rsidRDefault="00311379">
    <w:pPr>
      <w:pStyle w:val="a5"/>
      <w:tabs>
        <w:tab w:val="center" w:pos="4677"/>
        <w:tab w:val="right" w:pos="9355"/>
      </w:tabs>
      <w:spacing w:after="192"/>
      <w:jc w:val="center"/>
      <w:rPr>
        <w:color w:val="auto"/>
        <w:sz w:val="22"/>
        <w:szCs w:val="22"/>
      </w:rPr>
    </w:pPr>
  </w:p>
  <w:p w:rsidR="00311379" w:rsidRDefault="00311379">
    <w:pPr>
      <w:pStyle w:val="a5"/>
      <w:tabs>
        <w:tab w:val="center" w:pos="4677"/>
        <w:tab w:val="right" w:pos="9355"/>
      </w:tabs>
      <w:spacing w:after="192"/>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AB4" w:rsidRDefault="00A76AB4">
      <w:r>
        <w:separator/>
      </w:r>
    </w:p>
  </w:footnote>
  <w:footnote w:type="continuationSeparator" w:id="1">
    <w:p w:rsidR="00A76AB4" w:rsidRDefault="00A76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79" w:rsidRDefault="00311379" w:rsidP="00927E1D">
    <w:pPr>
      <w:pStyle w:val="a3"/>
      <w:tabs>
        <w:tab w:val="center" w:pos="4677"/>
        <w:tab w:val="right" w:pos="9355"/>
      </w:tabs>
      <w:spacing w:after="192"/>
      <w:ind w:firstLine="0"/>
      <w:rPr>
        <w:color w:val="auto"/>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F086"/>
    <w:multiLevelType w:val="hybridMultilevel"/>
    <w:tmpl w:val="FFFFFFFF"/>
    <w:lvl w:ilvl="0" w:tplc="D1B6CEB4">
      <w:start w:val="1"/>
      <w:numFmt w:val="decimal"/>
      <w:lvlText w:val="%1."/>
      <w:lvlJc w:val="left"/>
      <w:pPr>
        <w:ind w:left="720" w:hanging="360"/>
      </w:pPr>
      <w:rPr>
        <w:rFonts w:cs="Times New Roman"/>
        <w:color w:val="000000"/>
      </w:rPr>
    </w:lvl>
    <w:lvl w:ilvl="1" w:tplc="D1B6CEB4">
      <w:start w:val="1"/>
      <w:numFmt w:val="decimal"/>
      <w:lvlText w:val="%2."/>
      <w:lvlJc w:val="left"/>
      <w:pPr>
        <w:ind w:left="1440" w:hanging="360"/>
      </w:pPr>
      <w:rPr>
        <w:rFonts w:cs="Times New Roman"/>
        <w:color w:val="000000"/>
      </w:rPr>
    </w:lvl>
    <w:lvl w:ilvl="2" w:tplc="D1B6CEB4">
      <w:start w:val="1"/>
      <w:numFmt w:val="decimal"/>
      <w:lvlText w:val="%3."/>
      <w:lvlJc w:val="left"/>
      <w:pPr>
        <w:ind w:left="2160" w:hanging="360"/>
      </w:pPr>
      <w:rPr>
        <w:rFonts w:cs="Times New Roman"/>
        <w:color w:val="000000"/>
      </w:rPr>
    </w:lvl>
    <w:lvl w:ilvl="3" w:tplc="D1B6CEB4">
      <w:start w:val="1"/>
      <w:numFmt w:val="decimal"/>
      <w:lvlText w:val="%4."/>
      <w:lvlJc w:val="left"/>
      <w:pPr>
        <w:ind w:left="2880" w:hanging="360"/>
      </w:pPr>
      <w:rPr>
        <w:rFonts w:cs="Times New Roman"/>
        <w:color w:val="000000"/>
      </w:rPr>
    </w:lvl>
    <w:lvl w:ilvl="4" w:tplc="D1B6CEB4">
      <w:start w:val="1"/>
      <w:numFmt w:val="decimal"/>
      <w:lvlText w:val="%5."/>
      <w:lvlJc w:val="left"/>
      <w:pPr>
        <w:ind w:left="3600" w:hanging="360"/>
      </w:pPr>
      <w:rPr>
        <w:rFonts w:cs="Times New Roman"/>
        <w:color w:val="000000"/>
      </w:rPr>
    </w:lvl>
    <w:lvl w:ilvl="5" w:tplc="D1B6CEB4">
      <w:start w:val="1"/>
      <w:numFmt w:val="decimal"/>
      <w:lvlText w:val="%6."/>
      <w:lvlJc w:val="left"/>
      <w:pPr>
        <w:ind w:left="4320" w:hanging="360"/>
      </w:pPr>
      <w:rPr>
        <w:rFonts w:cs="Times New Roman"/>
        <w:color w:val="000000"/>
      </w:rPr>
    </w:lvl>
    <w:lvl w:ilvl="6" w:tplc="D1B6CEB4">
      <w:start w:val="1"/>
      <w:numFmt w:val="decimal"/>
      <w:lvlText w:val="%7."/>
      <w:lvlJc w:val="left"/>
      <w:pPr>
        <w:ind w:left="5040" w:hanging="360"/>
      </w:pPr>
      <w:rPr>
        <w:rFonts w:cs="Times New Roman"/>
        <w:color w:val="000000"/>
      </w:rPr>
    </w:lvl>
    <w:lvl w:ilvl="7" w:tplc="D1B6CEB4">
      <w:start w:val="1"/>
      <w:numFmt w:val="decimal"/>
      <w:lvlText w:val="%8."/>
      <w:lvlJc w:val="left"/>
      <w:pPr>
        <w:ind w:left="5760" w:hanging="360"/>
      </w:pPr>
      <w:rPr>
        <w:rFonts w:cs="Times New Roman"/>
        <w:color w:val="000000"/>
      </w:rPr>
    </w:lvl>
    <w:lvl w:ilvl="8" w:tplc="D1B6CEB4">
      <w:start w:val="1"/>
      <w:numFmt w:val="decimal"/>
      <w:lvlText w:val="%9."/>
      <w:lvlJc w:val="left"/>
      <w:pPr>
        <w:ind w:left="6480" w:hanging="360"/>
      </w:pPr>
      <w:rPr>
        <w:rFonts w:cs="Times New Roman"/>
        <w:color w:val="000000"/>
      </w:rPr>
    </w:lvl>
  </w:abstractNum>
  <w:abstractNum w:abstractNumId="1">
    <w:nsid w:val="3310243C"/>
    <w:multiLevelType w:val="hybridMultilevel"/>
    <w:tmpl w:val="FFFFFFFF"/>
    <w:lvl w:ilvl="0" w:tplc="D1B6CEB4">
      <w:start w:val="1"/>
      <w:numFmt w:val="decimal"/>
      <w:lvlText w:val="%1."/>
      <w:lvlJc w:val="left"/>
      <w:pPr>
        <w:ind w:left="792" w:hanging="360"/>
      </w:pPr>
      <w:rPr>
        <w:rFonts w:cs="Times New Roman"/>
        <w:color w:val="000000"/>
      </w:rPr>
    </w:lvl>
    <w:lvl w:ilvl="1" w:tplc="04190019">
      <w:start w:val="1"/>
      <w:numFmt w:val="lowerLetter"/>
      <w:lvlText w:val="%2."/>
      <w:lvlJc w:val="left"/>
      <w:pPr>
        <w:ind w:left="1512" w:hanging="360"/>
      </w:pPr>
      <w:rPr>
        <w:rFonts w:cs="Times New Roman"/>
        <w:color w:val="000000"/>
      </w:rPr>
    </w:lvl>
    <w:lvl w:ilvl="2" w:tplc="0419001B">
      <w:start w:val="1"/>
      <w:numFmt w:val="lowerRoman"/>
      <w:lvlText w:val="%3."/>
      <w:lvlJc w:val="right"/>
      <w:pPr>
        <w:ind w:left="2232" w:hanging="168"/>
      </w:pPr>
      <w:rPr>
        <w:rFonts w:cs="Times New Roman"/>
        <w:color w:val="000000"/>
      </w:rPr>
    </w:lvl>
    <w:lvl w:ilvl="3" w:tplc="D1B6CEB4">
      <w:start w:val="1"/>
      <w:numFmt w:val="decimal"/>
      <w:lvlText w:val="%4."/>
      <w:lvlJc w:val="left"/>
      <w:pPr>
        <w:ind w:left="2952" w:hanging="360"/>
      </w:pPr>
      <w:rPr>
        <w:rFonts w:cs="Times New Roman"/>
        <w:color w:val="000000"/>
      </w:rPr>
    </w:lvl>
    <w:lvl w:ilvl="4" w:tplc="04190019">
      <w:start w:val="1"/>
      <w:numFmt w:val="lowerLetter"/>
      <w:lvlText w:val="%5."/>
      <w:lvlJc w:val="left"/>
      <w:pPr>
        <w:ind w:left="3672" w:hanging="360"/>
      </w:pPr>
      <w:rPr>
        <w:rFonts w:cs="Times New Roman"/>
        <w:color w:val="000000"/>
      </w:rPr>
    </w:lvl>
    <w:lvl w:ilvl="5" w:tplc="0419001B">
      <w:start w:val="1"/>
      <w:numFmt w:val="lowerRoman"/>
      <w:lvlText w:val="%6."/>
      <w:lvlJc w:val="right"/>
      <w:pPr>
        <w:ind w:left="4392" w:hanging="168"/>
      </w:pPr>
      <w:rPr>
        <w:rFonts w:cs="Times New Roman"/>
        <w:color w:val="000000"/>
      </w:rPr>
    </w:lvl>
    <w:lvl w:ilvl="6" w:tplc="D1B6CEB4">
      <w:start w:val="1"/>
      <w:numFmt w:val="decimal"/>
      <w:lvlText w:val="%7."/>
      <w:lvlJc w:val="left"/>
      <w:pPr>
        <w:ind w:left="5112" w:hanging="360"/>
      </w:pPr>
      <w:rPr>
        <w:rFonts w:cs="Times New Roman"/>
        <w:color w:val="000000"/>
      </w:rPr>
    </w:lvl>
    <w:lvl w:ilvl="7" w:tplc="04190019">
      <w:start w:val="1"/>
      <w:numFmt w:val="lowerLetter"/>
      <w:lvlText w:val="%8."/>
      <w:lvlJc w:val="left"/>
      <w:pPr>
        <w:ind w:left="5832" w:hanging="360"/>
      </w:pPr>
      <w:rPr>
        <w:rFonts w:cs="Times New Roman"/>
        <w:color w:val="000000"/>
      </w:rPr>
    </w:lvl>
    <w:lvl w:ilvl="8" w:tplc="0419001B">
      <w:start w:val="1"/>
      <w:numFmt w:val="lowerRoman"/>
      <w:lvlText w:val="%9."/>
      <w:lvlJc w:val="right"/>
      <w:pPr>
        <w:ind w:left="6552" w:hanging="168"/>
      </w:pPr>
      <w:rPr>
        <w:rFonts w:cs="Times New Roman"/>
        <w:color w:val="000000"/>
      </w:rPr>
    </w:lvl>
  </w:abstractNum>
  <w:abstractNum w:abstractNumId="2">
    <w:nsid w:val="4F0F80B4"/>
    <w:multiLevelType w:val="hybridMultilevel"/>
    <w:tmpl w:val="FFFFFFFF"/>
    <w:lvl w:ilvl="0" w:tplc="D1B6CEB4">
      <w:start w:val="1"/>
      <w:numFmt w:val="decimal"/>
      <w:lvlText w:val="%1)"/>
      <w:lvlJc w:val="left"/>
      <w:pPr>
        <w:ind w:left="786" w:hanging="360"/>
      </w:pPr>
      <w:rPr>
        <w:rFonts w:cs="Times New Roman"/>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D1B6CEB4">
      <w:start w:val="1"/>
      <w:numFmt w:val="decimal"/>
      <w:lvlText w:val="%4."/>
      <w:lvlJc w:val="left"/>
      <w:pPr>
        <w:ind w:left="2946" w:hanging="360"/>
      </w:pPr>
      <w:rPr>
        <w:rFonts w:cs="Times New Roman"/>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D1B6CEB4">
      <w:start w:val="1"/>
      <w:numFmt w:val="decimal"/>
      <w:lvlText w:val="%7."/>
      <w:lvlJc w:val="left"/>
      <w:pPr>
        <w:ind w:left="5106" w:hanging="360"/>
      </w:pPr>
      <w:rPr>
        <w:rFonts w:cs="Times New Roman"/>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6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E1D"/>
    <w:rsid w:val="00155CAE"/>
    <w:rsid w:val="001634B0"/>
    <w:rsid w:val="00311379"/>
    <w:rsid w:val="006A0209"/>
    <w:rsid w:val="00927E1D"/>
    <w:rsid w:val="009C1DE5"/>
    <w:rsid w:val="00A76AB4"/>
    <w:rsid w:val="00BB57A5"/>
    <w:rsid w:val="00FE4C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849"/>
    </w:pPr>
    <w:rPr>
      <w:rFonts w:ascii="Times New Roman" w:hAnsi="Times New Roman"/>
      <w:color w:val="000000"/>
      <w:sz w:val="28"/>
      <w:szCs w:val="2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c7edede0e0eaea">
    <w:name w:val="Зc7c7нededаe0e0кeaea"/>
    <w:basedOn w:val="a"/>
    <w:uiPriority w:val="99"/>
    <w:pPr>
      <w:spacing w:after="144"/>
    </w:pPr>
    <w:rPr>
      <w:rFonts w:ascii="Verdana" w:hAnsi="Verdana" w:cs="Verdana"/>
      <w:sz w:val="20"/>
      <w:szCs w:val="20"/>
    </w:rPr>
  </w:style>
  <w:style w:type="paragraph" w:customStyle="1" w:styleId="cecee1e1fbfbf7f7ededfbfbe9e913efeff2f2">
    <w:name w:val="Оceceбe1e1ыfbfbчf7f7нededыfbfbйe9e9 + 13 пefefтf2f2"/>
    <w:basedOn w:val="a"/>
    <w:uiPriority w:val="99"/>
    <w:pPr>
      <w:ind w:left="5664"/>
    </w:pPr>
    <w:rPr>
      <w:sz w:val="24"/>
      <w:szCs w:val="24"/>
    </w:rPr>
  </w:style>
  <w:style w:type="paragraph" w:customStyle="1" w:styleId="cecef1f1ededeeeee2e2ededeeeee9e9f2f2e5e5eaeaf1f1f2f2f1f1eeeef2f2f1f1f2f2f3f3efefeeeeecec21">
    <w:name w:val="Оceceсf1f1нededоeeeeвe2e2нededоeeeeйe9e9 тf2f2еe5e5кeaeaсf1f1тf2f2 сf1f1 оeeeeтf2f2сf1f1тf2f2уf3f3пefefоeeeeмecec 21"/>
    <w:basedOn w:val="a"/>
    <w:uiPriority w:val="99"/>
    <w:pPr>
      <w:ind w:firstLine="0"/>
      <w:jc w:val="both"/>
    </w:pPr>
    <w:rPr>
      <w:sz w:val="24"/>
      <w:szCs w:val="24"/>
    </w:rPr>
  </w:style>
  <w:style w:type="paragraph" w:styleId="a3">
    <w:name w:val="header"/>
    <w:basedOn w:val="a"/>
    <w:link w:val="a4"/>
    <w:uiPriority w:val="99"/>
    <w:rPr>
      <w:sz w:val="24"/>
      <w:szCs w:val="24"/>
    </w:rPr>
  </w:style>
  <w:style w:type="character" w:customStyle="1" w:styleId="a4">
    <w:name w:val="Верхний колонтитул Знак"/>
    <w:basedOn w:val="a0"/>
    <w:link w:val="a3"/>
    <w:uiPriority w:val="99"/>
    <w:semiHidden/>
    <w:locked/>
    <w:rPr>
      <w:rFonts w:ascii="Times New Roman" w:hAnsi="Times New Roman" w:cs="Times New Roman"/>
      <w:color w:val="000000"/>
      <w:sz w:val="28"/>
      <w:szCs w:val="28"/>
    </w:rPr>
  </w:style>
  <w:style w:type="paragraph" w:styleId="a5">
    <w:name w:val="footer"/>
    <w:basedOn w:val="a"/>
    <w:link w:val="a6"/>
    <w:uiPriority w:val="99"/>
    <w:rPr>
      <w:sz w:val="24"/>
      <w:szCs w:val="24"/>
    </w:rPr>
  </w:style>
  <w:style w:type="character" w:customStyle="1" w:styleId="a6">
    <w:name w:val="Нижний колонтитул Знак"/>
    <w:basedOn w:val="a0"/>
    <w:link w:val="a5"/>
    <w:uiPriority w:val="99"/>
    <w:semiHidden/>
    <w:locked/>
    <w:rPr>
      <w:rFonts w:ascii="Times New Roman" w:hAnsi="Times New Roman" w:cs="Times New Roman"/>
      <w:color w:val="000000"/>
      <w:sz w:val="28"/>
      <w:szCs w:val="28"/>
    </w:rPr>
  </w:style>
  <w:style w:type="character" w:styleId="a7">
    <w:name w:val="line number"/>
    <w:basedOn w:val="a0"/>
    <w:uiPriority w:val="99"/>
    <w:rPr>
      <w:rFonts w:cs="Times New Roman"/>
      <w:color w:val="000000"/>
      <w:sz w:val="28"/>
      <w:szCs w:val="28"/>
    </w:rPr>
  </w:style>
  <w:style w:type="character" w:styleId="a8">
    <w:name w:val="Hyperlink"/>
    <w:basedOn w:val="a0"/>
    <w:uiPriority w:val="99"/>
    <w:rPr>
      <w:rFonts w:cs="Times New Roman"/>
      <w:color w:val="0000FF"/>
      <w:sz w:val="28"/>
      <w:szCs w:val="28"/>
      <w:u w:val="single"/>
    </w:rPr>
  </w:style>
  <w:style w:type="character" w:customStyle="1" w:styleId="lblinfoform1">
    <w:name w:val="lblinfoform1"/>
    <w:basedOn w:val="a0"/>
    <w:uiPriority w:val="99"/>
    <w:rPr>
      <w:rFonts w:ascii="Arial" w:hAnsi="Arial" w:cs="Arial"/>
      <w:b/>
      <w:bCs/>
      <w:color w:val="3E6D9C"/>
      <w:sz w:val="16"/>
      <w:szCs w:val="16"/>
    </w:rPr>
  </w:style>
  <w:style w:type="character" w:customStyle="1" w:styleId="c2e5f0f5ede8e9eaeeebeeedf2e8f2f3ebc7ede0ea">
    <w:name w:val="Вc2еe5рf0хf5нedиe8йe9 кeaоeeлebоeeнedтf2иe8тf2уf3лeb Зc7нedаe0кea"/>
    <w:basedOn w:val="a0"/>
    <w:uiPriority w:val="99"/>
    <w:rPr>
      <w:rFonts w:ascii="Calibri" w:hAnsi="Calibri" w:cs="Calibri"/>
      <w:color w:val="000000"/>
    </w:rPr>
  </w:style>
  <w:style w:type="character" w:customStyle="1" w:styleId="cde8e6ede8e9eaeeebeeedf2e8f2f3ebc7ede0ea">
    <w:name w:val="Нcdиe8жe6нedиe8йe9 кeaоeeлebоeeнedтf2иe8тf2уf3лeb Зc7нedаe0кea"/>
    <w:basedOn w:val="a0"/>
    <w:uiPriority w:val="99"/>
    <w:rPr>
      <w:rFonts w:ascii="Calibri" w:hAnsi="Calibri" w:cs="Calibri"/>
      <w:color w:val="000000"/>
    </w:rPr>
  </w:style>
  <w:style w:type="paragraph" w:styleId="a9">
    <w:name w:val="Balloon Text"/>
    <w:basedOn w:val="a"/>
    <w:link w:val="aa"/>
    <w:uiPriority w:val="99"/>
    <w:semiHidden/>
    <w:unhideWhenUsed/>
    <w:rsid w:val="00311379"/>
    <w:rPr>
      <w:rFonts w:ascii="Segoe UI" w:hAnsi="Segoe UI" w:cs="Segoe UI"/>
      <w:sz w:val="18"/>
      <w:szCs w:val="18"/>
    </w:rPr>
  </w:style>
  <w:style w:type="character" w:customStyle="1" w:styleId="aa">
    <w:name w:val="Текст выноски Знак"/>
    <w:basedOn w:val="a0"/>
    <w:link w:val="a9"/>
    <w:uiPriority w:val="99"/>
    <w:semiHidden/>
    <w:locked/>
    <w:rsid w:val="00311379"/>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11402</Characters>
  <Application>Microsoft Office Word</Application>
  <DocSecurity>0</DocSecurity>
  <Lines>95</Lines>
  <Paragraphs>26</Paragraphs>
  <ScaleCrop>false</ScaleCrop>
  <Company>Microsoft</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Рябова</dc:creator>
  <cp:lastModifiedBy>Наталья Рябова</cp:lastModifiedBy>
  <cp:revision>2</cp:revision>
  <cp:lastPrinted>2016-09-07T09:04:00Z</cp:lastPrinted>
  <dcterms:created xsi:type="dcterms:W3CDTF">2016-09-16T09:33:00Z</dcterms:created>
  <dcterms:modified xsi:type="dcterms:W3CDTF">2016-09-16T09:33:00Z</dcterms:modified>
</cp:coreProperties>
</file>